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F0C5" w14:textId="61C14475" w:rsidR="00312B57" w:rsidRPr="00312B57" w:rsidRDefault="009643A3" w:rsidP="00312B57">
      <w:pPr>
        <w:pStyle w:val="NoSpacing"/>
        <w:rPr>
          <w:rFonts w:ascii="Garamond" w:eastAsia="Times New Roman" w:hAnsi="Garamond"/>
          <w:sz w:val="8"/>
          <w:szCs w:val="8"/>
        </w:rPr>
      </w:pPr>
      <w:r w:rsidRPr="00312B57">
        <w:rPr>
          <w:rFonts w:ascii="Garamond" w:hAnsi="Garamond"/>
          <w:b/>
          <w:noProof/>
          <w:color w:val="2E74B5" w:themeColor="accent1" w:themeShade="BF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23084F" wp14:editId="3186BEB0">
                <wp:simplePos x="0" y="0"/>
                <wp:positionH relativeFrom="column">
                  <wp:posOffset>-389255</wp:posOffset>
                </wp:positionH>
                <wp:positionV relativeFrom="paragraph">
                  <wp:posOffset>52705</wp:posOffset>
                </wp:positionV>
                <wp:extent cx="1731645" cy="2770505"/>
                <wp:effectExtent l="57150" t="38100" r="40005" b="48895"/>
                <wp:wrapTight wrapText="bothSides">
                  <wp:wrapPolygon edited="0">
                    <wp:start x="-713" y="-297"/>
                    <wp:lineTo x="-713" y="21833"/>
                    <wp:lineTo x="21861" y="21833"/>
                    <wp:lineTo x="21861" y="-297"/>
                    <wp:lineTo x="-713" y="-297"/>
                  </wp:wrapPolygon>
                </wp:wrapTight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27705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F56E4" w14:textId="11A9D12E" w:rsidR="003752DE" w:rsidRPr="00591FE9" w:rsidRDefault="003752DE" w:rsidP="003752DE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1FE9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Department of          Environmental Conservation</w:t>
                            </w:r>
                            <w:r w:rsidR="004C747E" w:rsidRPr="00591F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72BEF3" w14:textId="06FFF549" w:rsidR="00361FEA" w:rsidRPr="00027BB7" w:rsidRDefault="004C747E" w:rsidP="004C747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D</w:t>
                            </w:r>
                            <w:r w:rsidR="00361FEA"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ivision of Water</w:t>
                            </w:r>
                          </w:p>
                          <w:p w14:paraId="2471A034" w14:textId="77777777" w:rsidR="004C747E" w:rsidRDefault="004C747E" w:rsidP="00361F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77D9D4E" w14:textId="77777777" w:rsidR="00361FEA" w:rsidRPr="00027BB7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410 Willoughby Ave</w:t>
                            </w:r>
                          </w:p>
                          <w:p w14:paraId="69088F80" w14:textId="77777777" w:rsidR="00361FEA" w:rsidRPr="00027BB7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Suite 303</w:t>
                            </w:r>
                          </w:p>
                          <w:p w14:paraId="08761D5C" w14:textId="77777777" w:rsidR="00361FEA" w:rsidRPr="00027BB7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Juneau, Alaska 99801</w:t>
                            </w:r>
                          </w:p>
                          <w:p w14:paraId="36510F90" w14:textId="77777777" w:rsidR="00361FEA" w:rsidRPr="00027BB7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Phone: (907)</w:t>
                            </w:r>
                            <w:r w:rsidR="009F0612"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465-5185</w:t>
                            </w:r>
                          </w:p>
                          <w:p w14:paraId="5ECEE98B" w14:textId="77777777" w:rsidR="00361FEA" w:rsidRPr="00027BB7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Fax: (907)</w:t>
                            </w:r>
                            <w:r w:rsidR="009F0612"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027BB7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465-5274</w:t>
                            </w:r>
                          </w:p>
                          <w:p w14:paraId="42E2585B" w14:textId="77777777" w:rsidR="00361FEA" w:rsidRDefault="00361FEA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56B0AA53" w14:textId="7C04056A" w:rsidR="00A77308" w:rsidRPr="00027BB7" w:rsidRDefault="00A77308" w:rsidP="00212E6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 xml:space="preserve">Website: </w:t>
                            </w:r>
                            <w:r w:rsidRPr="00A77308">
                              <w:rPr>
                                <w:rFonts w:ascii="Garamond" w:hAnsi="Garamond"/>
                                <w:b/>
                                <w:color w:val="FFFFFF" w:themeColor="background1"/>
                              </w:rPr>
                              <w:t>http://dec.alaska.gov/water/wqsar/index.htm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3084F" id="Rectangle 203" o:spid="_x0000_s1026" style="position:absolute;margin-left:-30.65pt;margin-top:4.15pt;width:136.35pt;height:218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" fillcolor="#5b9bd5 [3204]" stroked="f" strokeweight="1pt">
                <v:textbox inset=",14.4pt,8.64pt,18pt">
                  <w:txbxContent>
                    <w:p w14:paraId="243F56E4" w14:textId="11A9D12E" w:rsidR="003752DE" w:rsidRPr="00591FE9" w:rsidRDefault="003752DE" w:rsidP="003752DE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1FE9">
                        <w:rPr>
                          <w:rFonts w:ascii="Garamond" w:hAnsi="Garamond"/>
                          <w:b/>
                          <w:color w:val="FFFFFF" w:themeColor="background1"/>
                          <w:sz w:val="24"/>
                          <w:szCs w:val="24"/>
                        </w:rPr>
                        <w:t>Department of          Environmental Conservation</w:t>
                      </w:r>
                      <w:r w:rsidR="004C747E" w:rsidRPr="00591F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72BEF3" w14:textId="06FFF549" w:rsidR="00361FEA" w:rsidRPr="00027BB7" w:rsidRDefault="004C747E" w:rsidP="004C747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D</w:t>
                      </w:r>
                      <w:r w:rsidR="00361FEA"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ivision of Water</w:t>
                      </w:r>
                    </w:p>
                    <w:p w14:paraId="2471A034" w14:textId="77777777" w:rsidR="004C747E" w:rsidRDefault="004C747E" w:rsidP="00361FE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</w:p>
                    <w:p w14:paraId="377D9D4E" w14:textId="77777777" w:rsidR="00361FEA" w:rsidRPr="00027BB7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410 Willoughby Ave</w:t>
                      </w:r>
                    </w:p>
                    <w:p w14:paraId="69088F80" w14:textId="77777777" w:rsidR="00361FEA" w:rsidRPr="00027BB7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Suite 303</w:t>
                      </w:r>
                    </w:p>
                    <w:p w14:paraId="08761D5C" w14:textId="77777777" w:rsidR="00361FEA" w:rsidRPr="00027BB7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Juneau, Alaska 99801</w:t>
                      </w:r>
                    </w:p>
                    <w:p w14:paraId="36510F90" w14:textId="77777777" w:rsidR="00361FEA" w:rsidRPr="00027BB7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Phone: (907)</w:t>
                      </w:r>
                      <w:r w:rsidR="009F0612"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 xml:space="preserve"> </w:t>
                      </w: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465-5185</w:t>
                      </w:r>
                    </w:p>
                    <w:p w14:paraId="5ECEE98B" w14:textId="77777777" w:rsidR="00361FEA" w:rsidRPr="00027BB7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Fax: (907)</w:t>
                      </w:r>
                      <w:r w:rsidR="009F0612"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 xml:space="preserve"> </w:t>
                      </w:r>
                      <w:r w:rsidRPr="00027BB7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465-5274</w:t>
                      </w:r>
                    </w:p>
                    <w:p w14:paraId="42E2585B" w14:textId="77777777" w:rsidR="00361FEA" w:rsidRDefault="00361FEA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</w:p>
                    <w:p w14:paraId="56B0AA53" w14:textId="7C04056A" w:rsidR="00A77308" w:rsidRPr="00027BB7" w:rsidRDefault="00A77308" w:rsidP="00212E6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 xml:space="preserve">Website: </w:t>
                      </w:r>
                      <w:r w:rsidRPr="00A77308">
                        <w:rPr>
                          <w:rFonts w:ascii="Garamond" w:hAnsi="Garamond"/>
                          <w:b/>
                          <w:color w:val="FFFFFF" w:themeColor="background1"/>
                        </w:rPr>
                        <w:t>http://dec.alaska.gov/water/wqsar/index.htm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71F90" w:rsidRPr="00312B57">
        <w:rPr>
          <w:rFonts w:ascii="Garamond" w:eastAsia="Times New Roman" w:hAnsi="Garamond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148B1" wp14:editId="1452B152">
                <wp:simplePos x="0" y="0"/>
                <wp:positionH relativeFrom="column">
                  <wp:posOffset>1464310</wp:posOffset>
                </wp:positionH>
                <wp:positionV relativeFrom="paragraph">
                  <wp:posOffset>1404764</wp:posOffset>
                </wp:positionV>
                <wp:extent cx="4663440" cy="678180"/>
                <wp:effectExtent l="0" t="0" r="2286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678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39D55" w14:textId="492008AB" w:rsidR="007F31FD" w:rsidRPr="003378BB" w:rsidRDefault="007F31FD" w:rsidP="003378B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3378BB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The Clean Water Act</w:t>
                            </w:r>
                            <w:r w:rsidR="004E4DDC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4E4DDC" w:rsidRPr="004E4DDC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§</w:t>
                            </w:r>
                            <w:r w:rsidR="004E4DDC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 xml:space="preserve">101(a) </w:t>
                            </w:r>
                            <w:r w:rsidRPr="003378BB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requires that designated uses for each water body must include recreation and aquatic life, otherwise known as the “fishable/swimmable” goals.</w:t>
                            </w:r>
                          </w:p>
                          <w:p w14:paraId="39B1B832" w14:textId="6B6F3A20" w:rsidR="007F31FD" w:rsidRDefault="007F31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14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5.3pt;margin-top:110.6pt;width:367.2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7839D55" w14:textId="492008AB" w:rsidR="007F31FD" w:rsidRPr="003378BB" w:rsidRDefault="007F31FD" w:rsidP="003378B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3378BB">
                        <w:rPr>
                          <w:b/>
                          <w:bCs/>
                          <w:color w:val="262626" w:themeColor="text1" w:themeTint="D9"/>
                        </w:rPr>
                        <w:t>The Clean Water Act</w:t>
                      </w:r>
                      <w:r w:rsidR="004E4DDC">
                        <w:rPr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="004E4DDC" w:rsidRPr="004E4DDC">
                        <w:rPr>
                          <w:b/>
                          <w:bCs/>
                          <w:color w:val="262626" w:themeColor="text1" w:themeTint="D9"/>
                        </w:rPr>
                        <w:t>§</w:t>
                      </w:r>
                      <w:r w:rsidR="004E4DDC">
                        <w:rPr>
                          <w:b/>
                          <w:bCs/>
                          <w:color w:val="262626" w:themeColor="text1" w:themeTint="D9"/>
                        </w:rPr>
                        <w:t xml:space="preserve">101(a) </w:t>
                      </w:r>
                      <w:r w:rsidRPr="003378BB">
                        <w:rPr>
                          <w:b/>
                          <w:bCs/>
                          <w:color w:val="262626" w:themeColor="text1" w:themeTint="D9"/>
                        </w:rPr>
                        <w:t>requires that designated uses for each water body must include recreation and aquatic life, otherwise known as the “fishable/swimmable” goals.</w:t>
                      </w:r>
                    </w:p>
                    <w:p w14:paraId="39B1B832" w14:textId="6B6F3A20" w:rsidR="007F31FD" w:rsidRDefault="007F31FD"/>
                  </w:txbxContent>
                </v:textbox>
                <w10:wrap type="square"/>
              </v:shape>
            </w:pict>
          </mc:Fallback>
        </mc:AlternateContent>
      </w:r>
    </w:p>
    <w:p w14:paraId="265CEF71" w14:textId="47C29C45" w:rsidR="00907696" w:rsidRDefault="00312B57" w:rsidP="00312B57">
      <w:pPr>
        <w:pStyle w:val="NoSpacing"/>
        <w:rPr>
          <w:rFonts w:ascii="Garamond" w:eastAsia="Times New Roman" w:hAnsi="Garamond"/>
          <w:sz w:val="24"/>
          <w:szCs w:val="24"/>
        </w:rPr>
      </w:pPr>
      <w:r w:rsidRPr="00312B57">
        <w:rPr>
          <w:rFonts w:ascii="Garamond" w:eastAsia="Times New Roman" w:hAnsi="Garamond"/>
          <w:sz w:val="24"/>
          <w:szCs w:val="24"/>
        </w:rPr>
        <w:t xml:space="preserve">Water Quality Standards (WQS) establish Alaska’s policies </w:t>
      </w:r>
      <w:r w:rsidR="00571F90" w:rsidRPr="00312B57">
        <w:rPr>
          <w:rFonts w:ascii="Garamond" w:eastAsia="Times New Roman" w:hAnsi="Garamond"/>
          <w:sz w:val="24"/>
          <w:szCs w:val="24"/>
        </w:rPr>
        <w:t xml:space="preserve">and metrics used by </w:t>
      </w:r>
      <w:r w:rsidR="007F7C5E">
        <w:rPr>
          <w:rFonts w:ascii="Garamond" w:eastAsia="Times New Roman" w:hAnsi="Garamond"/>
          <w:sz w:val="24"/>
          <w:szCs w:val="24"/>
        </w:rPr>
        <w:t xml:space="preserve">the </w:t>
      </w:r>
      <w:r w:rsidR="00571F90" w:rsidRPr="00312B57">
        <w:rPr>
          <w:rFonts w:ascii="Garamond" w:eastAsia="Times New Roman" w:hAnsi="Garamond"/>
          <w:sz w:val="24"/>
          <w:szCs w:val="24"/>
        </w:rPr>
        <w:t xml:space="preserve">department </w:t>
      </w:r>
      <w:r w:rsidR="00907696" w:rsidRPr="00312B57">
        <w:rPr>
          <w:rFonts w:ascii="Garamond" w:eastAsia="Times New Roman" w:hAnsi="Garamond"/>
          <w:sz w:val="24"/>
          <w:szCs w:val="24"/>
        </w:rPr>
        <w:t>for</w:t>
      </w:r>
      <w:r w:rsidR="000F3B1F" w:rsidRPr="00312B57">
        <w:rPr>
          <w:rFonts w:ascii="Garamond" w:eastAsia="Times New Roman" w:hAnsi="Garamond"/>
          <w:sz w:val="24"/>
          <w:szCs w:val="24"/>
        </w:rPr>
        <w:t xml:space="preserve"> </w:t>
      </w:r>
      <w:r w:rsidR="00511B0B" w:rsidRPr="00312B57">
        <w:rPr>
          <w:rFonts w:ascii="Garamond" w:eastAsia="Times New Roman" w:hAnsi="Garamond"/>
          <w:sz w:val="24"/>
          <w:szCs w:val="24"/>
        </w:rPr>
        <w:t>protect</w:t>
      </w:r>
      <w:r w:rsidR="00220DA6" w:rsidRPr="00312B57">
        <w:rPr>
          <w:rFonts w:ascii="Garamond" w:eastAsia="Times New Roman" w:hAnsi="Garamond"/>
          <w:sz w:val="24"/>
          <w:szCs w:val="24"/>
        </w:rPr>
        <w:t>ion</w:t>
      </w:r>
      <w:r w:rsidR="00511B0B" w:rsidRPr="00312B57">
        <w:rPr>
          <w:rFonts w:ascii="Garamond" w:eastAsia="Times New Roman" w:hAnsi="Garamond"/>
          <w:sz w:val="24"/>
          <w:szCs w:val="24"/>
        </w:rPr>
        <w:t xml:space="preserve"> </w:t>
      </w:r>
      <w:r w:rsidR="00704489" w:rsidRPr="00312B57">
        <w:rPr>
          <w:rFonts w:ascii="Garamond" w:eastAsia="Times New Roman" w:hAnsi="Garamond"/>
          <w:sz w:val="24"/>
          <w:szCs w:val="24"/>
        </w:rPr>
        <w:t xml:space="preserve">of </w:t>
      </w:r>
      <w:r w:rsidR="00220DA6" w:rsidRPr="00312B57">
        <w:rPr>
          <w:rFonts w:ascii="Garamond" w:eastAsia="Times New Roman" w:hAnsi="Garamond"/>
          <w:sz w:val="24"/>
          <w:szCs w:val="24"/>
        </w:rPr>
        <w:t xml:space="preserve">water </w:t>
      </w:r>
      <w:r w:rsidR="00907696" w:rsidRPr="00312B57">
        <w:rPr>
          <w:rFonts w:ascii="Garamond" w:eastAsia="Times New Roman" w:hAnsi="Garamond"/>
          <w:sz w:val="24"/>
          <w:szCs w:val="24"/>
        </w:rPr>
        <w:t xml:space="preserve">quality </w:t>
      </w:r>
      <w:r w:rsidR="00704489" w:rsidRPr="00312B57">
        <w:rPr>
          <w:rFonts w:ascii="Garamond" w:eastAsia="Times New Roman" w:hAnsi="Garamond"/>
          <w:sz w:val="24"/>
          <w:szCs w:val="24"/>
        </w:rPr>
        <w:t>in</w:t>
      </w:r>
      <w:r w:rsidR="00104441" w:rsidRPr="00312B57">
        <w:rPr>
          <w:rFonts w:ascii="Garamond" w:eastAsia="Times New Roman" w:hAnsi="Garamond"/>
          <w:sz w:val="24"/>
          <w:szCs w:val="24"/>
        </w:rPr>
        <w:t xml:space="preserve"> </w:t>
      </w:r>
      <w:r w:rsidR="00571F90" w:rsidRPr="00312B57">
        <w:rPr>
          <w:rFonts w:ascii="Garamond" w:eastAsia="Times New Roman" w:hAnsi="Garamond"/>
          <w:sz w:val="24"/>
          <w:szCs w:val="24"/>
        </w:rPr>
        <w:t>state</w:t>
      </w:r>
      <w:r w:rsidR="00104441" w:rsidRPr="00312B57">
        <w:rPr>
          <w:rFonts w:ascii="Garamond" w:eastAsia="Times New Roman" w:hAnsi="Garamond"/>
          <w:sz w:val="24"/>
          <w:szCs w:val="24"/>
        </w:rPr>
        <w:t xml:space="preserve"> waters</w:t>
      </w:r>
      <w:r w:rsidR="00704489" w:rsidRPr="00312B57">
        <w:rPr>
          <w:rFonts w:ascii="Garamond" w:eastAsia="Times New Roman" w:hAnsi="Garamond"/>
          <w:sz w:val="24"/>
          <w:szCs w:val="24"/>
        </w:rPr>
        <w:t xml:space="preserve"> through pollution control efforts like wastewater discharge permits</w:t>
      </w:r>
      <w:r w:rsidR="00DF3D78" w:rsidRPr="00312B57">
        <w:rPr>
          <w:rFonts w:ascii="Garamond" w:eastAsia="Times New Roman" w:hAnsi="Garamond"/>
          <w:sz w:val="24"/>
          <w:szCs w:val="24"/>
        </w:rPr>
        <w:t xml:space="preserve">. </w:t>
      </w:r>
      <w:r w:rsidR="00BE647D" w:rsidRPr="00312B57">
        <w:rPr>
          <w:rFonts w:ascii="Garamond" w:eastAsia="Times New Roman" w:hAnsi="Garamond"/>
          <w:sz w:val="24"/>
          <w:szCs w:val="24"/>
        </w:rPr>
        <w:t xml:space="preserve">A WQS defines the </w:t>
      </w:r>
      <w:r w:rsidR="00571F90" w:rsidRPr="00312B57">
        <w:rPr>
          <w:rFonts w:ascii="Garamond" w:eastAsia="Times New Roman" w:hAnsi="Garamond"/>
          <w:sz w:val="24"/>
          <w:szCs w:val="24"/>
        </w:rPr>
        <w:t xml:space="preserve">aspirational </w:t>
      </w:r>
      <w:r w:rsidR="00BE647D" w:rsidRPr="00312B57">
        <w:rPr>
          <w:rFonts w:ascii="Garamond" w:eastAsia="Times New Roman" w:hAnsi="Garamond"/>
          <w:sz w:val="24"/>
          <w:szCs w:val="24"/>
        </w:rPr>
        <w:t>goals of a water body or a segment of water</w:t>
      </w:r>
      <w:r w:rsidR="00220DA6" w:rsidRPr="00312B57">
        <w:rPr>
          <w:rFonts w:ascii="Garamond" w:eastAsia="Times New Roman" w:hAnsi="Garamond"/>
          <w:sz w:val="24"/>
          <w:szCs w:val="24"/>
        </w:rPr>
        <w:t xml:space="preserve">. </w:t>
      </w:r>
      <w:r w:rsidR="004E7647" w:rsidRPr="00312B57">
        <w:rPr>
          <w:rFonts w:ascii="Garamond" w:eastAsia="Times New Roman" w:hAnsi="Garamond"/>
          <w:sz w:val="24"/>
          <w:szCs w:val="24"/>
        </w:rPr>
        <w:t xml:space="preserve">They </w:t>
      </w:r>
      <w:r w:rsidR="00220DA6" w:rsidRPr="00312B57">
        <w:rPr>
          <w:rFonts w:ascii="Garamond" w:eastAsia="Times New Roman" w:hAnsi="Garamond"/>
          <w:sz w:val="24"/>
          <w:szCs w:val="24"/>
        </w:rPr>
        <w:t xml:space="preserve">can include </w:t>
      </w:r>
      <w:r w:rsidR="00571F90" w:rsidRPr="00312B57">
        <w:rPr>
          <w:rFonts w:ascii="Garamond" w:eastAsia="Times New Roman" w:hAnsi="Garamond"/>
          <w:sz w:val="24"/>
          <w:szCs w:val="24"/>
        </w:rPr>
        <w:t>narrative and</w:t>
      </w:r>
      <w:r w:rsidR="00220DA6" w:rsidRPr="00312B57">
        <w:rPr>
          <w:rFonts w:ascii="Garamond" w:eastAsia="Times New Roman" w:hAnsi="Garamond"/>
          <w:sz w:val="24"/>
          <w:szCs w:val="24"/>
        </w:rPr>
        <w:t>/or</w:t>
      </w:r>
      <w:r w:rsidR="00571F90" w:rsidRPr="00312B57">
        <w:rPr>
          <w:rFonts w:ascii="Garamond" w:eastAsia="Times New Roman" w:hAnsi="Garamond"/>
          <w:sz w:val="24"/>
          <w:szCs w:val="24"/>
        </w:rPr>
        <w:t xml:space="preserve"> numeric values</w:t>
      </w:r>
      <w:r w:rsidR="00907696" w:rsidRPr="00312B57">
        <w:rPr>
          <w:rFonts w:ascii="Garamond" w:eastAsia="Times New Roman" w:hAnsi="Garamond"/>
          <w:sz w:val="24"/>
          <w:szCs w:val="24"/>
        </w:rPr>
        <w:t xml:space="preserve">, </w:t>
      </w:r>
      <w:r w:rsidR="00571F90" w:rsidRPr="00312B57">
        <w:rPr>
          <w:rFonts w:ascii="Garamond" w:eastAsia="Times New Roman" w:hAnsi="Garamond"/>
          <w:sz w:val="24"/>
          <w:szCs w:val="24"/>
        </w:rPr>
        <w:t xml:space="preserve">the process used to allow for the degradation of </w:t>
      </w:r>
      <w:r w:rsidR="00907696" w:rsidRPr="00312B57">
        <w:rPr>
          <w:rFonts w:ascii="Garamond" w:eastAsia="Times New Roman" w:hAnsi="Garamond"/>
          <w:sz w:val="24"/>
          <w:szCs w:val="24"/>
        </w:rPr>
        <w:t xml:space="preserve">chemical, physical, and biological </w:t>
      </w:r>
      <w:r w:rsidR="00571F90" w:rsidRPr="00312B57">
        <w:rPr>
          <w:rFonts w:ascii="Garamond" w:eastAsia="Times New Roman" w:hAnsi="Garamond"/>
          <w:sz w:val="24"/>
          <w:szCs w:val="24"/>
        </w:rPr>
        <w:t>characteristics</w:t>
      </w:r>
      <w:r w:rsidR="00220DA6" w:rsidRPr="00312B57">
        <w:rPr>
          <w:rFonts w:ascii="Garamond" w:eastAsia="Times New Roman" w:hAnsi="Garamond"/>
          <w:sz w:val="24"/>
          <w:szCs w:val="24"/>
        </w:rPr>
        <w:t xml:space="preserve">, and the duration of allowed degradation. </w:t>
      </w:r>
    </w:p>
    <w:p w14:paraId="2B863C6F" w14:textId="77777777" w:rsidR="00D8441C" w:rsidRDefault="00D8441C" w:rsidP="00312B57">
      <w:pPr>
        <w:pStyle w:val="NoSpacing"/>
        <w:rPr>
          <w:rFonts w:ascii="Garamond" w:eastAsia="Times New Roman" w:hAnsi="Garamond"/>
          <w:sz w:val="24"/>
          <w:szCs w:val="24"/>
        </w:rPr>
      </w:pPr>
    </w:p>
    <w:p w14:paraId="3DE714E7" w14:textId="27BF25B8" w:rsidR="00D8441C" w:rsidRPr="00A35E15" w:rsidRDefault="00D8441C" w:rsidP="00D8441C">
      <w:pPr>
        <w:rPr>
          <w:rFonts w:ascii="Garamond" w:hAnsi="Garamond"/>
          <w:bCs/>
          <w:sz w:val="24"/>
          <w:szCs w:val="24"/>
        </w:rPr>
      </w:pPr>
      <w:r w:rsidRPr="00D8441C">
        <w:rPr>
          <w:rFonts w:ascii="Garamond" w:eastAsia="Times New Roman" w:hAnsi="Garamond"/>
          <w:b/>
          <w:bCs/>
          <w:sz w:val="24"/>
          <w:szCs w:val="24"/>
        </w:rPr>
        <w:t>Beatson Mine Reclassification</w:t>
      </w:r>
      <w:r>
        <w:rPr>
          <w:rFonts w:ascii="Garamond" w:eastAsia="Times New Roman" w:hAnsi="Garamond"/>
          <w:sz w:val="24"/>
          <w:szCs w:val="24"/>
        </w:rPr>
        <w:t xml:space="preserve">: </w:t>
      </w:r>
      <w:r>
        <w:rPr>
          <w:rFonts w:ascii="Garamond" w:hAnsi="Garamond"/>
          <w:bCs/>
          <w:sz w:val="24"/>
          <w:szCs w:val="24"/>
        </w:rPr>
        <w:t>DEC is proposing to reclassify certain designated uses for waters associated with the Beatson Mine, located on LaTouche Island in Prince William Sound. A Use Attainability Analysis has demonstrated that water quality has not attained select designated uses as of November 28, 1975</w:t>
      </w:r>
      <w:r>
        <w:rPr>
          <w:rStyle w:val="FootnoteReference"/>
          <w:rFonts w:ascii="Garamond" w:hAnsi="Garamond"/>
          <w:bCs/>
          <w:sz w:val="24"/>
          <w:szCs w:val="24"/>
        </w:rPr>
        <w:footnoteReference w:id="1"/>
      </w:r>
      <w:r>
        <w:rPr>
          <w:rFonts w:ascii="Garamond" w:hAnsi="Garamond"/>
          <w:bCs/>
          <w:sz w:val="24"/>
          <w:szCs w:val="24"/>
        </w:rPr>
        <w:t xml:space="preserve"> and qualify for the degree of water quality protection afforded these uses. </w:t>
      </w:r>
    </w:p>
    <w:p w14:paraId="6CB2EDAE" w14:textId="4A54FB68" w:rsidR="00A77308" w:rsidRPr="00EC1419" w:rsidRDefault="008E2773" w:rsidP="00AF33BE">
      <w:pPr>
        <w:pStyle w:val="Heading2"/>
        <w:tabs>
          <w:tab w:val="left" w:pos="4279"/>
        </w:tabs>
        <w:rPr>
          <w:rFonts w:ascii="Garamond" w:hAnsi="Garamond"/>
          <w:sz w:val="24"/>
          <w:szCs w:val="24"/>
        </w:rPr>
      </w:pPr>
      <w:r w:rsidRPr="00EC1419">
        <w:rPr>
          <w:rFonts w:ascii="Garamond" w:hAnsi="Garamond"/>
          <w:sz w:val="24"/>
          <w:szCs w:val="24"/>
        </w:rPr>
        <w:t>What are Designated U</w:t>
      </w:r>
      <w:r w:rsidR="00A77308" w:rsidRPr="00EC1419">
        <w:rPr>
          <w:rFonts w:ascii="Garamond" w:hAnsi="Garamond"/>
          <w:sz w:val="24"/>
          <w:szCs w:val="24"/>
        </w:rPr>
        <w:t xml:space="preserve">ses? </w:t>
      </w:r>
      <w:r w:rsidR="00AF33BE">
        <w:rPr>
          <w:rFonts w:ascii="Garamond" w:hAnsi="Garamond"/>
          <w:sz w:val="24"/>
          <w:szCs w:val="24"/>
        </w:rPr>
        <w:tab/>
      </w:r>
    </w:p>
    <w:p w14:paraId="6C5CBB3C" w14:textId="744D364F" w:rsidR="00704489" w:rsidRPr="00EC1419" w:rsidRDefault="004E7647" w:rsidP="00312B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Designated uses are the different ways waters are used and managed by the State. </w:t>
      </w:r>
      <w:r w:rsidR="00AF09FD" w:rsidRPr="00EC1419">
        <w:rPr>
          <w:rFonts w:ascii="Garamond" w:hAnsi="Garamond"/>
          <w:sz w:val="24"/>
          <w:szCs w:val="24"/>
        </w:rPr>
        <w:t xml:space="preserve">They establish environmental management objectives </w:t>
      </w:r>
      <w:r w:rsidR="00220DA6">
        <w:rPr>
          <w:rFonts w:ascii="Garamond" w:hAnsi="Garamond"/>
          <w:sz w:val="24"/>
          <w:szCs w:val="24"/>
        </w:rPr>
        <w:t xml:space="preserve">for the waterbody or segment of water. </w:t>
      </w:r>
      <w:r w:rsidR="00AF09FD" w:rsidRPr="00EC1419">
        <w:rPr>
          <w:rFonts w:ascii="Garamond" w:hAnsi="Garamond"/>
          <w:sz w:val="24"/>
          <w:szCs w:val="24"/>
        </w:rPr>
        <w:t xml:space="preserve"> At a minimum, designated uses must be attainable uses that can be achieved using best management practices, technology</w:t>
      </w:r>
      <w:r w:rsidR="00220DA6">
        <w:rPr>
          <w:rFonts w:ascii="Garamond" w:hAnsi="Garamond"/>
          <w:sz w:val="24"/>
          <w:szCs w:val="24"/>
        </w:rPr>
        <w:t>, permit</w:t>
      </w:r>
      <w:r w:rsidR="00AF09FD" w:rsidRPr="00EC1419">
        <w:rPr>
          <w:rFonts w:ascii="Garamond" w:hAnsi="Garamond"/>
          <w:sz w:val="24"/>
          <w:szCs w:val="24"/>
        </w:rPr>
        <w:t xml:space="preserve"> limits</w:t>
      </w:r>
      <w:r w:rsidR="00220DA6">
        <w:rPr>
          <w:rFonts w:ascii="Garamond" w:hAnsi="Garamond"/>
          <w:sz w:val="24"/>
          <w:szCs w:val="24"/>
        </w:rPr>
        <w:t>,</w:t>
      </w:r>
      <w:r w:rsidR="00AF09FD" w:rsidRPr="00EC1419">
        <w:rPr>
          <w:rFonts w:ascii="Garamond" w:hAnsi="Garamond"/>
          <w:sz w:val="24"/>
          <w:szCs w:val="24"/>
        </w:rPr>
        <w:t xml:space="preserve"> or other methods to prevent degradation or harm.</w:t>
      </w:r>
      <w:r w:rsidR="00BF04D4" w:rsidRPr="00EC1419">
        <w:rPr>
          <w:rFonts w:ascii="Garamond" w:hAnsi="Garamond"/>
          <w:sz w:val="24"/>
          <w:szCs w:val="24"/>
        </w:rPr>
        <w:t xml:space="preserve"> </w:t>
      </w:r>
      <w:r w:rsidR="008A3AFE" w:rsidRPr="00EC1419">
        <w:rPr>
          <w:rFonts w:ascii="Garamond" w:hAnsi="Garamond"/>
          <w:sz w:val="24"/>
          <w:szCs w:val="24"/>
        </w:rPr>
        <w:t xml:space="preserve">Alaska uses the term “protective use” rather than Designated Use. </w:t>
      </w:r>
    </w:p>
    <w:p w14:paraId="655AB786" w14:textId="0C49C0B3" w:rsidR="008A3AFE" w:rsidRPr="00EC1419" w:rsidRDefault="008A3AFE" w:rsidP="000F3B1F">
      <w:pPr>
        <w:spacing w:after="0"/>
        <w:rPr>
          <w:rFonts w:ascii="Garamond" w:eastAsia="Times New Roman" w:hAnsi="Garamond" w:cs="Times New Roman"/>
          <w:sz w:val="24"/>
          <w:szCs w:val="24"/>
        </w:rPr>
      </w:pPr>
      <w:r w:rsidRPr="00EC1419">
        <w:rPr>
          <w:rFonts w:ascii="Garamond" w:eastAsia="Times New Roman" w:hAnsi="Garamond" w:cs="Times New Roman"/>
          <w:sz w:val="24"/>
          <w:szCs w:val="24"/>
        </w:rPr>
        <w:t>Protected</w:t>
      </w:r>
      <w:r w:rsidR="00591F1A" w:rsidRPr="00EC141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C1419">
        <w:rPr>
          <w:rFonts w:ascii="Garamond" w:eastAsia="Times New Roman" w:hAnsi="Garamond" w:cs="Times New Roman"/>
          <w:sz w:val="24"/>
          <w:szCs w:val="24"/>
        </w:rPr>
        <w:t>U</w:t>
      </w:r>
      <w:r w:rsidR="00591F1A" w:rsidRPr="00EC1419">
        <w:rPr>
          <w:rFonts w:ascii="Garamond" w:eastAsia="Times New Roman" w:hAnsi="Garamond" w:cs="Times New Roman"/>
          <w:sz w:val="24"/>
          <w:szCs w:val="24"/>
        </w:rPr>
        <w:t>ses</w:t>
      </w:r>
      <w:r w:rsidR="000A4096" w:rsidRPr="00EC141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C1419">
        <w:rPr>
          <w:rFonts w:ascii="Garamond" w:eastAsia="Times New Roman" w:hAnsi="Garamond" w:cs="Times New Roman"/>
          <w:sz w:val="24"/>
          <w:szCs w:val="24"/>
        </w:rPr>
        <w:t>are referenced in state regulation at 18 AAC 70.050</w:t>
      </w:r>
    </w:p>
    <w:p w14:paraId="1EBD2437" w14:textId="77777777" w:rsidR="008A3AFE" w:rsidRPr="00EC1419" w:rsidRDefault="008A3AFE" w:rsidP="008A3AFE">
      <w:pPr>
        <w:pStyle w:val="Default"/>
        <w:ind w:left="720"/>
        <w:rPr>
          <w:rFonts w:ascii="Garamond" w:hAnsi="Garamond"/>
        </w:rPr>
      </w:pPr>
      <w:r w:rsidRPr="00EC1419">
        <w:rPr>
          <w:rFonts w:ascii="Garamond" w:hAnsi="Garamond"/>
          <w:b/>
          <w:bCs/>
        </w:rPr>
        <w:t xml:space="preserve">18 AAC 70.050. Classification of state water. </w:t>
      </w:r>
      <w:r w:rsidRPr="00EC1419">
        <w:rPr>
          <w:rFonts w:ascii="Garamond" w:hAnsi="Garamond"/>
        </w:rPr>
        <w:t xml:space="preserve">Except as specified in 18 AAC 70.230(e), state water is protected for the following use classes: </w:t>
      </w:r>
    </w:p>
    <w:p w14:paraId="59231A0F" w14:textId="77777777" w:rsidR="008A3AFE" w:rsidRPr="00EC1419" w:rsidRDefault="008A3AFE" w:rsidP="008A3AFE">
      <w:pPr>
        <w:pStyle w:val="Default"/>
        <w:ind w:left="720"/>
        <w:rPr>
          <w:rFonts w:ascii="Garamond" w:hAnsi="Garamond"/>
        </w:rPr>
      </w:pPr>
      <w:r w:rsidRPr="00EC1419">
        <w:rPr>
          <w:rFonts w:ascii="Garamond" w:hAnsi="Garamond"/>
        </w:rPr>
        <w:t xml:space="preserve">(1) fresh water - Classes (1)(A), (1)(B), and (1)(C); </w:t>
      </w:r>
    </w:p>
    <w:p w14:paraId="32ABA79D" w14:textId="77777777" w:rsidR="008A3AFE" w:rsidRPr="00EC1419" w:rsidRDefault="008A3AFE" w:rsidP="008A3AFE">
      <w:pPr>
        <w:pStyle w:val="Default"/>
        <w:ind w:left="720"/>
        <w:rPr>
          <w:rFonts w:ascii="Garamond" w:hAnsi="Garamond"/>
        </w:rPr>
      </w:pPr>
      <w:r w:rsidRPr="00EC1419">
        <w:rPr>
          <w:rFonts w:ascii="Garamond" w:hAnsi="Garamond"/>
        </w:rPr>
        <w:t xml:space="preserve">(2) groundwater - Class (1)(A); </w:t>
      </w:r>
    </w:p>
    <w:p w14:paraId="7D0530C3" w14:textId="6B9E3069" w:rsidR="008A3AFE" w:rsidRPr="00EC1419" w:rsidRDefault="008A3AFE" w:rsidP="008A3AFE">
      <w:pPr>
        <w:pStyle w:val="Default"/>
        <w:ind w:left="720"/>
        <w:rPr>
          <w:rFonts w:ascii="Garamond" w:hAnsi="Garamond"/>
        </w:rPr>
      </w:pPr>
      <w:r w:rsidRPr="00EC1419">
        <w:rPr>
          <w:rFonts w:ascii="Garamond" w:hAnsi="Garamond"/>
        </w:rPr>
        <w:t xml:space="preserve">(3) marine water - Classes (2)(A), (2)(B), (2)(C), and (2)(D). </w:t>
      </w:r>
    </w:p>
    <w:p w14:paraId="4CBAE4A5" w14:textId="77777777" w:rsidR="008A3AFE" w:rsidRPr="00EC1419" w:rsidRDefault="008A3AFE" w:rsidP="008A3AFE">
      <w:pPr>
        <w:pStyle w:val="Default"/>
        <w:rPr>
          <w:rFonts w:ascii="Garamond" w:hAnsi="Garamond"/>
        </w:rPr>
      </w:pPr>
    </w:p>
    <w:p w14:paraId="5F1EE790" w14:textId="1E8DE045" w:rsidR="008A3AFE" w:rsidRPr="00EC1419" w:rsidRDefault="008A3AFE" w:rsidP="008A3AFE">
      <w:pPr>
        <w:pStyle w:val="Default"/>
        <w:rPr>
          <w:rFonts w:ascii="Garamond" w:hAnsi="Garamond"/>
        </w:rPr>
      </w:pPr>
      <w:r w:rsidRPr="00EC1419">
        <w:rPr>
          <w:rFonts w:ascii="Garamond" w:hAnsi="Garamond"/>
        </w:rPr>
        <w:t xml:space="preserve">Use classes are defined as follows: </w:t>
      </w:r>
    </w:p>
    <w:p w14:paraId="1295BBC9" w14:textId="79686E3C" w:rsidR="00121317" w:rsidRPr="00EC1419" w:rsidRDefault="00591F1A" w:rsidP="008A3AFE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</w:pP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Water supply: (i) d</w:t>
      </w:r>
      <w:r w:rsidR="00121317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rinking</w:t>
      </w:r>
      <w:r w:rsidR="00FD134E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 water for humans</w:t>
      </w:r>
      <w:r w:rsidR="00121317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, culinary and food processing (ii) agriculture, including irrigation, (iii) aquaculture, (iv) </w:t>
      </w:r>
      <w:r w:rsidR="002F7E51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industrial.</w:t>
      </w:r>
    </w:p>
    <w:p w14:paraId="3587AC75" w14:textId="46DD15E5" w:rsidR="00121317" w:rsidRPr="00EC1419" w:rsidRDefault="00121317" w:rsidP="00121317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</w:pP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Recreation (i) contact recreation (</w:t>
      </w:r>
      <w:r w:rsidR="00115FF4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i.e. s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wimming</w:t>
      </w:r>
      <w:r w:rsidR="00FD134E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 for humans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), (ii) secondary recreation (</w:t>
      </w:r>
      <w:r w:rsidR="00115FF4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i.e. 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boating</w:t>
      </w:r>
      <w:r w:rsidR="00FD134E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, fishing and wading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)</w:t>
      </w:r>
      <w:r w:rsidR="00E17FA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.</w:t>
      </w:r>
    </w:p>
    <w:p w14:paraId="6AD07F98" w14:textId="4F233663" w:rsidR="00121317" w:rsidRDefault="00121317" w:rsidP="00121317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</w:pP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Growth and propagation of fish, shellfish, other aquatic life, and wildlife</w:t>
      </w:r>
      <w:r w:rsidR="00115FF4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.</w:t>
      </w:r>
    </w:p>
    <w:p w14:paraId="0470A81B" w14:textId="02D30400" w:rsidR="00AF09FD" w:rsidRPr="00312B57" w:rsidRDefault="00A3428C" w:rsidP="00AF09FD">
      <w:pPr>
        <w:pStyle w:val="ListParagraph"/>
        <w:numPr>
          <w:ilvl w:val="0"/>
          <w:numId w:val="9"/>
        </w:numPr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</w:pPr>
      <w:r w:rsidRPr="0080438A">
        <w:rPr>
          <w:rFonts w:ascii="Garamond" w:hAnsi="Garamond"/>
          <w:sz w:val="24"/>
          <w:szCs w:val="24"/>
        </w:rPr>
        <w:t>Harvesting for consumption of raw mollusks or other raw aquatic life</w:t>
      </w:r>
      <w:r w:rsidR="00E17FA9">
        <w:rPr>
          <w:rFonts w:ascii="Garamond" w:hAnsi="Garamond"/>
          <w:sz w:val="24"/>
          <w:szCs w:val="24"/>
        </w:rPr>
        <w:t>.</w:t>
      </w:r>
    </w:p>
    <w:p w14:paraId="3D099B18" w14:textId="77777777" w:rsidR="00312B57" w:rsidRPr="00312B57" w:rsidRDefault="00312B57" w:rsidP="00AF09FD">
      <w:pPr>
        <w:rPr>
          <w:rFonts w:ascii="Garamond" w:eastAsia="Times New Roman" w:hAnsi="Garamond" w:cs="Times New Roman"/>
          <w:color w:val="262626" w:themeColor="text1" w:themeTint="D9"/>
          <w:sz w:val="12"/>
          <w:szCs w:val="12"/>
        </w:rPr>
      </w:pPr>
    </w:p>
    <w:p w14:paraId="5C2CCAA5" w14:textId="51296B63" w:rsidR="00593CF9" w:rsidRPr="00EC1419" w:rsidRDefault="00593CF9" w:rsidP="00AF09FD">
      <w:pPr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</w:pP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Federal regulations at 40 C.F.R 131.10 </w:t>
      </w:r>
      <w:r w:rsidR="00AF09FD"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establish 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 xml:space="preserve">the process for states to revise or remove a designated use. DEC has adopted this process </w:t>
      </w:r>
      <w:r w:rsidRPr="00EC1419">
        <w:rPr>
          <w:rFonts w:ascii="Garamond" w:eastAsia="Times New Roman" w:hAnsi="Garamond" w:cs="Times New Roman"/>
          <w:i/>
          <w:iCs/>
          <w:color w:val="262626" w:themeColor="text1" w:themeTint="D9"/>
          <w:sz w:val="24"/>
          <w:szCs w:val="24"/>
        </w:rPr>
        <w:t xml:space="preserve">by reference </w:t>
      </w:r>
      <w:r w:rsidRPr="00EC1419">
        <w:rPr>
          <w:rFonts w:ascii="Garamond" w:eastAsia="Times New Roman" w:hAnsi="Garamond" w:cs="Times New Roman"/>
          <w:color w:val="262626" w:themeColor="text1" w:themeTint="D9"/>
          <w:sz w:val="24"/>
          <w:szCs w:val="24"/>
        </w:rPr>
        <w:t>at 18 AAC 70.230.</w:t>
      </w:r>
    </w:p>
    <w:p w14:paraId="1DC677CD" w14:textId="2DC28FD8" w:rsidR="00AF09FD" w:rsidRPr="00EC1419" w:rsidRDefault="00593CF9" w:rsidP="00593CF9">
      <w:pPr>
        <w:ind w:left="720"/>
        <w:rPr>
          <w:rFonts w:ascii="Garamond" w:hAnsi="Garamond"/>
          <w:sz w:val="24"/>
          <w:szCs w:val="24"/>
        </w:rPr>
      </w:pPr>
      <w:r w:rsidRPr="00EC1419">
        <w:rPr>
          <w:rFonts w:ascii="Garamond" w:hAnsi="Garamond"/>
          <w:b/>
          <w:bCs/>
          <w:sz w:val="24"/>
          <w:szCs w:val="24"/>
        </w:rPr>
        <w:t xml:space="preserve">18 AAC 70.230. Procedure for reclassification; reclassified waters. </w:t>
      </w:r>
      <w:r w:rsidRPr="00EC1419">
        <w:rPr>
          <w:rFonts w:ascii="Garamond" w:hAnsi="Garamond"/>
          <w:sz w:val="24"/>
          <w:szCs w:val="24"/>
        </w:rPr>
        <w:t xml:space="preserve">(a) Upon application, upon petition, or on its own initiative, the department may adopt, modify, or repeal protected water use classes in 18 AAC 70.050 for a water of the state in accordance with 40 C.F.R. 131.10, revised as of July 1, 2019, and adopted by reference. </w:t>
      </w:r>
    </w:p>
    <w:p w14:paraId="6EF837BD" w14:textId="2CAA6A68" w:rsidR="00593CF9" w:rsidRPr="00EC1419" w:rsidRDefault="00593CF9" w:rsidP="00593CF9">
      <w:pPr>
        <w:pStyle w:val="Heading2"/>
        <w:rPr>
          <w:rFonts w:ascii="Garamond" w:hAnsi="Garamond"/>
          <w:sz w:val="24"/>
          <w:szCs w:val="24"/>
        </w:rPr>
      </w:pPr>
      <w:r w:rsidRPr="00EC1419">
        <w:rPr>
          <w:rFonts w:ascii="Garamond" w:hAnsi="Garamond"/>
          <w:sz w:val="24"/>
          <w:szCs w:val="24"/>
        </w:rPr>
        <w:t xml:space="preserve">Use Attainability Analysis </w:t>
      </w:r>
    </w:p>
    <w:p w14:paraId="25B925CD" w14:textId="348FB14D" w:rsidR="00F71719" w:rsidRPr="00EC1419" w:rsidRDefault="00593CF9" w:rsidP="006320CF">
      <w:pPr>
        <w:rPr>
          <w:rFonts w:ascii="Garamond" w:hAnsi="Garamond" w:cs="Roboto"/>
          <w:color w:val="000000"/>
          <w:sz w:val="24"/>
          <w:szCs w:val="24"/>
        </w:rPr>
      </w:pPr>
      <w:r w:rsidRPr="00EC1419">
        <w:rPr>
          <w:rFonts w:ascii="Garamond" w:hAnsi="Garamond"/>
          <w:sz w:val="24"/>
          <w:szCs w:val="24"/>
        </w:rPr>
        <w:t xml:space="preserve">States </w:t>
      </w:r>
      <w:r w:rsidR="00E17FA9">
        <w:rPr>
          <w:rFonts w:ascii="Garamond" w:hAnsi="Garamond"/>
          <w:sz w:val="24"/>
          <w:szCs w:val="24"/>
        </w:rPr>
        <w:t xml:space="preserve">are authorized to </w:t>
      </w:r>
      <w:r w:rsidRPr="00EC1419">
        <w:rPr>
          <w:rFonts w:ascii="Garamond" w:hAnsi="Garamond"/>
          <w:sz w:val="24"/>
          <w:szCs w:val="24"/>
        </w:rPr>
        <w:t xml:space="preserve">revise or remove designated uses provided they are not an </w:t>
      </w:r>
      <w:r w:rsidRPr="00EC1419">
        <w:rPr>
          <w:rFonts w:ascii="Garamond" w:hAnsi="Garamond"/>
          <w:i/>
          <w:iCs/>
          <w:sz w:val="24"/>
          <w:szCs w:val="24"/>
        </w:rPr>
        <w:t xml:space="preserve">existing use. </w:t>
      </w:r>
      <w:r w:rsidRPr="00EC1419">
        <w:rPr>
          <w:rFonts w:ascii="Garamond" w:hAnsi="Garamond"/>
          <w:sz w:val="24"/>
          <w:szCs w:val="24"/>
        </w:rPr>
        <w:t xml:space="preserve">A use is considered to be </w:t>
      </w:r>
      <w:r w:rsidRPr="00EC1419">
        <w:rPr>
          <w:rFonts w:ascii="Garamond" w:hAnsi="Garamond"/>
          <w:i/>
          <w:iCs/>
          <w:sz w:val="24"/>
          <w:szCs w:val="24"/>
        </w:rPr>
        <w:t>existing</w:t>
      </w:r>
      <w:r w:rsidRPr="00EC1419">
        <w:rPr>
          <w:rFonts w:ascii="Garamond" w:hAnsi="Garamond"/>
          <w:sz w:val="24"/>
          <w:szCs w:val="24"/>
        </w:rPr>
        <w:t xml:space="preserve"> when the water quality needed to demonstrate </w:t>
      </w:r>
      <w:r w:rsidR="00F71719" w:rsidRPr="00EC1419">
        <w:rPr>
          <w:rFonts w:ascii="Garamond" w:hAnsi="Garamond"/>
          <w:sz w:val="24"/>
          <w:szCs w:val="24"/>
        </w:rPr>
        <w:t>protection</w:t>
      </w:r>
      <w:r w:rsidRPr="00EC1419">
        <w:rPr>
          <w:rFonts w:ascii="Garamond" w:hAnsi="Garamond"/>
          <w:sz w:val="24"/>
          <w:szCs w:val="24"/>
        </w:rPr>
        <w:t xml:space="preserve"> of th</w:t>
      </w:r>
      <w:r w:rsidR="00704489">
        <w:rPr>
          <w:rFonts w:ascii="Garamond" w:hAnsi="Garamond"/>
          <w:sz w:val="24"/>
          <w:szCs w:val="24"/>
        </w:rPr>
        <w:t>at</w:t>
      </w:r>
      <w:r w:rsidRPr="00EC1419">
        <w:rPr>
          <w:rFonts w:ascii="Garamond" w:hAnsi="Garamond"/>
          <w:sz w:val="24"/>
          <w:szCs w:val="24"/>
        </w:rPr>
        <w:t xml:space="preserve"> use has been persistently attained since 1975 (</w:t>
      </w:r>
      <w:r w:rsidR="00220DA6">
        <w:rPr>
          <w:rFonts w:ascii="Garamond" w:hAnsi="Garamond"/>
          <w:sz w:val="24"/>
          <w:szCs w:val="24"/>
        </w:rPr>
        <w:t>w</w:t>
      </w:r>
      <w:r w:rsidRPr="00EC1419">
        <w:rPr>
          <w:rFonts w:ascii="Garamond" w:hAnsi="Garamond"/>
          <w:sz w:val="24"/>
          <w:szCs w:val="24"/>
        </w:rPr>
        <w:t xml:space="preserve">hen the Clean Water Act regulations went into effect). </w:t>
      </w:r>
      <w:r w:rsidR="00F71719" w:rsidRPr="00EC1419">
        <w:rPr>
          <w:rFonts w:ascii="Garamond" w:hAnsi="Garamond"/>
          <w:sz w:val="24"/>
          <w:szCs w:val="24"/>
        </w:rPr>
        <w:t xml:space="preserve">For the removal of the protected uses of </w:t>
      </w:r>
      <w:r w:rsidR="00704489">
        <w:rPr>
          <w:rFonts w:ascii="Garamond" w:hAnsi="Garamond"/>
          <w:sz w:val="24"/>
          <w:szCs w:val="24"/>
        </w:rPr>
        <w:t>r</w:t>
      </w:r>
      <w:r w:rsidR="00F71719" w:rsidRPr="00EC1419">
        <w:rPr>
          <w:rFonts w:ascii="Garamond" w:hAnsi="Garamond"/>
          <w:sz w:val="24"/>
          <w:szCs w:val="24"/>
        </w:rPr>
        <w:t xml:space="preserve">ecreation or </w:t>
      </w:r>
      <w:r w:rsidR="00704489">
        <w:rPr>
          <w:rFonts w:ascii="Garamond" w:hAnsi="Garamond"/>
          <w:sz w:val="24"/>
          <w:szCs w:val="24"/>
        </w:rPr>
        <w:t>g</w:t>
      </w:r>
      <w:r w:rsidR="00F71719" w:rsidRPr="00EC1419">
        <w:rPr>
          <w:rFonts w:ascii="Garamond" w:hAnsi="Garamond"/>
          <w:sz w:val="24"/>
          <w:szCs w:val="24"/>
        </w:rPr>
        <w:t xml:space="preserve">rowth and propagation of fish, shellfish, other aquatic life, and wildlife, EPA requires states to </w:t>
      </w:r>
      <w:r w:rsidR="00704489">
        <w:rPr>
          <w:rFonts w:ascii="Garamond" w:hAnsi="Garamond"/>
          <w:sz w:val="24"/>
          <w:szCs w:val="24"/>
        </w:rPr>
        <w:t xml:space="preserve">conduct </w:t>
      </w:r>
      <w:r w:rsidR="00F71719" w:rsidRPr="00EC1419">
        <w:rPr>
          <w:rFonts w:ascii="Garamond" w:hAnsi="Garamond"/>
          <w:sz w:val="24"/>
          <w:szCs w:val="24"/>
        </w:rPr>
        <w:t>a Use Attainability Analysis</w:t>
      </w:r>
      <w:r w:rsidR="006320CF" w:rsidRPr="00EC1419">
        <w:rPr>
          <w:rFonts w:ascii="Garamond" w:hAnsi="Garamond"/>
          <w:sz w:val="24"/>
          <w:szCs w:val="24"/>
        </w:rPr>
        <w:t xml:space="preserve"> (UAA). A UAA is a structured scientific assessment of factors affecting the attainment of uses. The factors </w:t>
      </w:r>
      <w:r w:rsidR="00704489">
        <w:rPr>
          <w:rFonts w:ascii="Garamond" w:hAnsi="Garamond"/>
          <w:sz w:val="24"/>
          <w:szCs w:val="24"/>
        </w:rPr>
        <w:t xml:space="preserve">examined need to include </w:t>
      </w:r>
      <w:r w:rsidR="006320CF" w:rsidRPr="00EC1419">
        <w:rPr>
          <w:rFonts w:ascii="Garamond" w:hAnsi="Garamond"/>
          <w:sz w:val="24"/>
          <w:szCs w:val="24"/>
        </w:rPr>
        <w:t>the physical, chemical, biological, and economic use removal criteria described in EPA' s water quality standards regulation (40 CFR 131.10(g)(1)-(6)).</w:t>
      </w:r>
    </w:p>
    <w:p w14:paraId="00CAF70C" w14:textId="48648689" w:rsidR="00F71719" w:rsidRPr="00EC1419" w:rsidRDefault="00F71719" w:rsidP="00F71719">
      <w:pPr>
        <w:autoSpaceDE w:val="0"/>
        <w:autoSpaceDN w:val="0"/>
        <w:adjustRightInd w:val="0"/>
        <w:rPr>
          <w:rFonts w:ascii="Garamond" w:hAnsi="Garamond" w:cs="Roboto"/>
          <w:color w:val="000000"/>
          <w:sz w:val="24"/>
          <w:szCs w:val="24"/>
        </w:rPr>
      </w:pPr>
      <w:r w:rsidRPr="00EC1419">
        <w:rPr>
          <w:rFonts w:ascii="Garamond" w:hAnsi="Garamond" w:cs="Roboto"/>
          <w:color w:val="000000"/>
          <w:sz w:val="24"/>
          <w:szCs w:val="24"/>
        </w:rPr>
        <w:t xml:space="preserve">DEC has </w:t>
      </w:r>
      <w:r w:rsidR="006320CF" w:rsidRPr="00EC1419">
        <w:rPr>
          <w:rFonts w:ascii="Garamond" w:hAnsi="Garamond" w:cs="Roboto"/>
          <w:color w:val="000000"/>
          <w:sz w:val="24"/>
          <w:szCs w:val="24"/>
        </w:rPr>
        <w:t xml:space="preserve">previously </w:t>
      </w:r>
      <w:r w:rsidRPr="00EC1419">
        <w:rPr>
          <w:rFonts w:ascii="Garamond" w:hAnsi="Garamond" w:cs="Roboto"/>
          <w:color w:val="000000"/>
          <w:sz w:val="24"/>
          <w:szCs w:val="24"/>
        </w:rPr>
        <w:t>completed reclassification</w:t>
      </w:r>
      <w:r w:rsidR="007F7C5E">
        <w:rPr>
          <w:rFonts w:ascii="Garamond" w:hAnsi="Garamond" w:cs="Roboto"/>
          <w:color w:val="000000"/>
          <w:sz w:val="24"/>
          <w:szCs w:val="24"/>
        </w:rPr>
        <w:t xml:space="preserve"> actions</w:t>
      </w:r>
      <w:r w:rsidRPr="00EC1419">
        <w:rPr>
          <w:rFonts w:ascii="Garamond" w:hAnsi="Garamond" w:cs="Roboto"/>
          <w:color w:val="000000"/>
          <w:sz w:val="24"/>
          <w:szCs w:val="24"/>
        </w:rPr>
        <w:t xml:space="preserve"> for multiple waters</w:t>
      </w:r>
      <w:r w:rsidR="00EC1419" w:rsidRPr="00EC1419">
        <w:rPr>
          <w:rFonts w:ascii="Garamond" w:hAnsi="Garamond" w:cs="Roboto"/>
          <w:color w:val="000000"/>
          <w:sz w:val="24"/>
          <w:szCs w:val="24"/>
        </w:rPr>
        <w:t xml:space="preserve"> (e.g., Red Dog Mine, 1996)</w:t>
      </w:r>
      <w:r w:rsidRPr="00EC1419">
        <w:rPr>
          <w:rFonts w:ascii="Garamond" w:hAnsi="Garamond" w:cs="Roboto"/>
          <w:color w:val="000000"/>
          <w:sz w:val="24"/>
          <w:szCs w:val="24"/>
        </w:rPr>
        <w:t xml:space="preserve"> and </w:t>
      </w:r>
      <w:r w:rsidR="00A6241A" w:rsidRPr="00EC1419">
        <w:rPr>
          <w:rFonts w:ascii="Garamond" w:hAnsi="Garamond" w:cs="Roboto"/>
          <w:color w:val="000000"/>
          <w:sz w:val="24"/>
          <w:szCs w:val="24"/>
        </w:rPr>
        <w:t>codifi</w:t>
      </w:r>
      <w:r w:rsidR="00A6241A">
        <w:rPr>
          <w:rFonts w:ascii="Garamond" w:hAnsi="Garamond" w:cs="Roboto"/>
          <w:color w:val="000000"/>
          <w:sz w:val="24"/>
          <w:szCs w:val="24"/>
        </w:rPr>
        <w:t>ed</w:t>
      </w:r>
      <w:r w:rsidRPr="00EC1419">
        <w:rPr>
          <w:rFonts w:ascii="Garamond" w:hAnsi="Garamond" w:cs="Roboto"/>
          <w:color w:val="000000"/>
          <w:sz w:val="24"/>
          <w:szCs w:val="24"/>
        </w:rPr>
        <w:t xml:space="preserve"> them at 18 AAC 70.230(e). All</w:t>
      </w:r>
      <w:r w:rsidR="00EC1419" w:rsidRPr="00EC1419">
        <w:rPr>
          <w:rFonts w:ascii="Garamond" w:hAnsi="Garamond" w:cs="Roboto"/>
          <w:color w:val="000000"/>
          <w:sz w:val="24"/>
          <w:szCs w:val="24"/>
        </w:rPr>
        <w:t xml:space="preserve"> </w:t>
      </w:r>
      <w:r w:rsidRPr="00EC1419">
        <w:rPr>
          <w:rFonts w:ascii="Garamond" w:hAnsi="Garamond" w:cs="Roboto"/>
          <w:color w:val="000000"/>
          <w:sz w:val="24"/>
          <w:szCs w:val="24"/>
        </w:rPr>
        <w:t xml:space="preserve">reclassification actions require formal rulemaking which, in turn, requires EPA-approval before </w:t>
      </w:r>
      <w:r w:rsidR="00EC1419" w:rsidRPr="00EC1419">
        <w:rPr>
          <w:rFonts w:ascii="Garamond" w:hAnsi="Garamond" w:cs="Roboto"/>
          <w:color w:val="000000"/>
          <w:sz w:val="24"/>
          <w:szCs w:val="24"/>
        </w:rPr>
        <w:t xml:space="preserve">state </w:t>
      </w:r>
      <w:r w:rsidRPr="00EC1419">
        <w:rPr>
          <w:rFonts w:ascii="Garamond" w:hAnsi="Garamond" w:cs="Roboto"/>
          <w:color w:val="000000"/>
          <w:sz w:val="24"/>
          <w:szCs w:val="24"/>
        </w:rPr>
        <w:t>regulations can be applied in state water pollution control programs</w:t>
      </w:r>
      <w:r w:rsidR="00897F53">
        <w:rPr>
          <w:rFonts w:ascii="Garamond" w:hAnsi="Garamond" w:cs="Roboto"/>
          <w:color w:val="000000"/>
          <w:sz w:val="24"/>
          <w:szCs w:val="24"/>
        </w:rPr>
        <w:t>.</w:t>
      </w:r>
      <w:r w:rsidRPr="00EC1419">
        <w:rPr>
          <w:rFonts w:ascii="Garamond" w:hAnsi="Garamond" w:cs="Roboto"/>
          <w:color w:val="000000"/>
          <w:sz w:val="24"/>
          <w:szCs w:val="24"/>
        </w:rPr>
        <w:t xml:space="preserve"> </w:t>
      </w:r>
    </w:p>
    <w:p w14:paraId="7D8276E8" w14:textId="0482CC4C" w:rsidR="00F71719" w:rsidRPr="00083321" w:rsidRDefault="00F71719" w:rsidP="00F71719">
      <w:pPr>
        <w:pStyle w:val="Heading2"/>
        <w:rPr>
          <w:rFonts w:ascii="Garamond" w:hAnsi="Garamond"/>
          <w:b/>
          <w:bCs/>
          <w:color w:val="auto"/>
          <w:sz w:val="24"/>
          <w:szCs w:val="24"/>
        </w:rPr>
      </w:pPr>
      <w:r w:rsidRPr="00083321">
        <w:rPr>
          <w:rFonts w:ascii="Garamond" w:hAnsi="Garamond"/>
          <w:b/>
          <w:bCs/>
          <w:color w:val="auto"/>
          <w:sz w:val="24"/>
          <w:szCs w:val="24"/>
        </w:rPr>
        <w:t>Beatson Mine Reclassification Request</w:t>
      </w:r>
    </w:p>
    <w:p w14:paraId="690BCFCE" w14:textId="192709AE" w:rsidR="00F71719" w:rsidRPr="00083321" w:rsidRDefault="00F71719" w:rsidP="00F71719">
      <w:pPr>
        <w:rPr>
          <w:rFonts w:ascii="Garamond" w:hAnsi="Garamond"/>
          <w:sz w:val="24"/>
          <w:szCs w:val="24"/>
        </w:rPr>
      </w:pPr>
      <w:r w:rsidRPr="00083321">
        <w:rPr>
          <w:rFonts w:ascii="Garamond" w:hAnsi="Garamond"/>
          <w:sz w:val="24"/>
          <w:szCs w:val="24"/>
        </w:rPr>
        <w:t xml:space="preserve">Rio Tinto, </w:t>
      </w:r>
      <w:r w:rsidR="006320CF" w:rsidRPr="00083321">
        <w:rPr>
          <w:rFonts w:ascii="Garamond" w:hAnsi="Garamond"/>
          <w:sz w:val="24"/>
          <w:szCs w:val="24"/>
        </w:rPr>
        <w:t>on be</w:t>
      </w:r>
      <w:r w:rsidR="00F239E3" w:rsidRPr="00083321">
        <w:rPr>
          <w:rFonts w:ascii="Garamond" w:hAnsi="Garamond"/>
          <w:sz w:val="24"/>
          <w:szCs w:val="24"/>
        </w:rPr>
        <w:t xml:space="preserve">half </w:t>
      </w:r>
      <w:r w:rsidR="006320CF" w:rsidRPr="00083321">
        <w:rPr>
          <w:rFonts w:ascii="Garamond" w:hAnsi="Garamond"/>
          <w:sz w:val="24"/>
          <w:szCs w:val="24"/>
        </w:rPr>
        <w:t xml:space="preserve">of </w:t>
      </w:r>
      <w:proofErr w:type="spellStart"/>
      <w:r w:rsidR="006320CF" w:rsidRPr="00083321">
        <w:rPr>
          <w:rFonts w:ascii="Garamond" w:hAnsi="Garamond"/>
          <w:sz w:val="24"/>
          <w:szCs w:val="24"/>
        </w:rPr>
        <w:t>Minaska</w:t>
      </w:r>
      <w:proofErr w:type="spellEnd"/>
      <w:r w:rsidR="006320CF" w:rsidRPr="00083321">
        <w:rPr>
          <w:rFonts w:ascii="Garamond" w:hAnsi="Garamond"/>
          <w:sz w:val="24"/>
          <w:szCs w:val="24"/>
        </w:rPr>
        <w:t>, Inc., has submitted a draft UAA to DEC for formal consideration</w:t>
      </w:r>
      <w:r w:rsidR="00A6241A" w:rsidRPr="00083321">
        <w:rPr>
          <w:rFonts w:ascii="Garamond" w:hAnsi="Garamond"/>
          <w:sz w:val="24"/>
          <w:szCs w:val="24"/>
        </w:rPr>
        <w:t xml:space="preserve">. </w:t>
      </w:r>
      <w:r w:rsidR="006320CF" w:rsidRPr="00083321">
        <w:rPr>
          <w:rFonts w:ascii="Garamond" w:hAnsi="Garamond"/>
          <w:sz w:val="24"/>
          <w:szCs w:val="24"/>
        </w:rPr>
        <w:t xml:space="preserve">The UAA documents water quality in multiple surface waters </w:t>
      </w:r>
      <w:r w:rsidR="00954A5D" w:rsidRPr="00083321">
        <w:rPr>
          <w:rFonts w:ascii="Garamond" w:hAnsi="Garamond"/>
          <w:sz w:val="24"/>
          <w:szCs w:val="24"/>
        </w:rPr>
        <w:t xml:space="preserve">associated with </w:t>
      </w:r>
      <w:r w:rsidR="006320CF" w:rsidRPr="00083321">
        <w:rPr>
          <w:rFonts w:ascii="Garamond" w:hAnsi="Garamond"/>
          <w:sz w:val="24"/>
          <w:szCs w:val="24"/>
        </w:rPr>
        <w:t xml:space="preserve">the former Beatson Mine located on Latouche Island in Prince William Sound. </w:t>
      </w:r>
      <w:r w:rsidR="002F7E51" w:rsidRPr="00083321">
        <w:rPr>
          <w:rFonts w:ascii="Garamond" w:hAnsi="Garamond"/>
          <w:sz w:val="24"/>
          <w:szCs w:val="24"/>
        </w:rPr>
        <w:t>T</w:t>
      </w:r>
      <w:r w:rsidR="006320CF" w:rsidRPr="00083321">
        <w:rPr>
          <w:rFonts w:ascii="Garamond" w:hAnsi="Garamond"/>
          <w:sz w:val="24"/>
          <w:szCs w:val="24"/>
        </w:rPr>
        <w:t xml:space="preserve">hese waters have been impacted by mining activities that occurred </w:t>
      </w:r>
      <w:r w:rsidR="004A0228" w:rsidRPr="00083321">
        <w:rPr>
          <w:rFonts w:ascii="Garamond" w:hAnsi="Garamond"/>
          <w:sz w:val="24"/>
          <w:szCs w:val="24"/>
        </w:rPr>
        <w:t>from 1897 to 1930</w:t>
      </w:r>
      <w:r w:rsidR="006320CF" w:rsidRPr="00083321">
        <w:rPr>
          <w:rFonts w:ascii="Garamond" w:hAnsi="Garamond"/>
          <w:sz w:val="24"/>
          <w:szCs w:val="24"/>
        </w:rPr>
        <w:t xml:space="preserve">. </w:t>
      </w:r>
      <w:r w:rsidR="001661A8" w:rsidRPr="00083321">
        <w:rPr>
          <w:rFonts w:ascii="Garamond" w:hAnsi="Garamond"/>
          <w:sz w:val="24"/>
          <w:szCs w:val="24"/>
        </w:rPr>
        <w:t xml:space="preserve">The UAA is requesting removal of water supply and aquatic life </w:t>
      </w:r>
      <w:r w:rsidR="002F7E51" w:rsidRPr="00083321">
        <w:rPr>
          <w:rFonts w:ascii="Garamond" w:hAnsi="Garamond"/>
          <w:sz w:val="24"/>
          <w:szCs w:val="24"/>
        </w:rPr>
        <w:t xml:space="preserve">use and subsequent </w:t>
      </w:r>
      <w:r w:rsidR="001661A8" w:rsidRPr="00083321">
        <w:rPr>
          <w:rFonts w:ascii="Garamond" w:hAnsi="Garamond"/>
          <w:sz w:val="24"/>
          <w:szCs w:val="24"/>
        </w:rPr>
        <w:t xml:space="preserve">criteria for the pollutants pH, </w:t>
      </w:r>
      <w:r w:rsidR="002F7E51" w:rsidRPr="00083321">
        <w:rPr>
          <w:rFonts w:ascii="Garamond" w:hAnsi="Garamond"/>
          <w:sz w:val="24"/>
          <w:szCs w:val="24"/>
        </w:rPr>
        <w:t>and select metals (cadmium, copper, lead, zinc</w:t>
      </w:r>
      <w:r w:rsidR="0080438A" w:rsidRPr="00083321">
        <w:rPr>
          <w:rFonts w:ascii="Garamond" w:hAnsi="Garamond"/>
          <w:sz w:val="24"/>
          <w:szCs w:val="24"/>
        </w:rPr>
        <w:t>) based on evidence that</w:t>
      </w:r>
      <w:r w:rsidR="002F7E51" w:rsidRPr="00083321">
        <w:rPr>
          <w:rFonts w:ascii="Garamond" w:hAnsi="Garamond"/>
          <w:sz w:val="24"/>
          <w:szCs w:val="24"/>
        </w:rPr>
        <w:t xml:space="preserve"> </w:t>
      </w:r>
      <w:r w:rsidR="001661A8" w:rsidRPr="00083321">
        <w:rPr>
          <w:rFonts w:ascii="Garamond" w:hAnsi="Garamond"/>
          <w:sz w:val="24"/>
          <w:szCs w:val="24"/>
        </w:rPr>
        <w:t xml:space="preserve">human-caused </w:t>
      </w:r>
      <w:r w:rsidR="002F7E51" w:rsidRPr="00083321">
        <w:rPr>
          <w:rFonts w:ascii="Garamond" w:hAnsi="Garamond"/>
          <w:sz w:val="24"/>
          <w:szCs w:val="24"/>
        </w:rPr>
        <w:t xml:space="preserve">and natural sources </w:t>
      </w:r>
      <w:r w:rsidR="001661A8" w:rsidRPr="00083321">
        <w:rPr>
          <w:rFonts w:ascii="Garamond" w:hAnsi="Garamond"/>
          <w:sz w:val="24"/>
          <w:szCs w:val="24"/>
        </w:rPr>
        <w:t>of pollution</w:t>
      </w:r>
      <w:r w:rsidR="002F7E51" w:rsidRPr="00083321">
        <w:rPr>
          <w:rFonts w:ascii="Garamond" w:hAnsi="Garamond"/>
          <w:sz w:val="24"/>
          <w:szCs w:val="24"/>
        </w:rPr>
        <w:t xml:space="preserve"> (i.e., low pH and metals) </w:t>
      </w:r>
      <w:r w:rsidR="001661A8" w:rsidRPr="00083321">
        <w:rPr>
          <w:rFonts w:ascii="Garamond" w:hAnsi="Garamond"/>
          <w:sz w:val="24"/>
          <w:szCs w:val="24"/>
        </w:rPr>
        <w:t xml:space="preserve">cannot be </w:t>
      </w:r>
      <w:r w:rsidR="002F7E51" w:rsidRPr="00083321">
        <w:rPr>
          <w:rFonts w:ascii="Garamond" w:hAnsi="Garamond"/>
          <w:sz w:val="24"/>
          <w:szCs w:val="24"/>
        </w:rPr>
        <w:t>remedied,</w:t>
      </w:r>
      <w:r w:rsidR="001661A8" w:rsidRPr="00083321">
        <w:rPr>
          <w:rFonts w:ascii="Garamond" w:hAnsi="Garamond"/>
          <w:sz w:val="24"/>
          <w:szCs w:val="24"/>
        </w:rPr>
        <w:t xml:space="preserve"> and it is not feasible to restore these waters to their original condition. </w:t>
      </w:r>
    </w:p>
    <w:p w14:paraId="0636E03B" w14:textId="038A1DFE" w:rsidR="006320CF" w:rsidRPr="00083321" w:rsidRDefault="006320CF" w:rsidP="00F71719">
      <w:pPr>
        <w:rPr>
          <w:rFonts w:ascii="Garamond" w:hAnsi="Garamond"/>
          <w:sz w:val="24"/>
          <w:szCs w:val="24"/>
        </w:rPr>
      </w:pPr>
      <w:r w:rsidRPr="00083321">
        <w:rPr>
          <w:rFonts w:ascii="Garamond" w:hAnsi="Garamond"/>
          <w:sz w:val="24"/>
          <w:szCs w:val="24"/>
        </w:rPr>
        <w:t xml:space="preserve">Rio Tinto is currently working with DEC to develop a cleanup plan for the Site </w:t>
      </w:r>
      <w:r w:rsidR="00A6241A" w:rsidRPr="00083321">
        <w:rPr>
          <w:rFonts w:ascii="Garamond" w:hAnsi="Garamond"/>
          <w:sz w:val="24"/>
          <w:szCs w:val="24"/>
        </w:rPr>
        <w:t>through DEC Division of Spill Prevention and Response</w:t>
      </w:r>
      <w:r w:rsidRPr="00083321">
        <w:rPr>
          <w:rFonts w:ascii="Garamond" w:hAnsi="Garamond"/>
          <w:sz w:val="24"/>
          <w:szCs w:val="24"/>
        </w:rPr>
        <w:t xml:space="preserve">. Rio Tinto’s current conceptual cleanup plan for the Site would combine source control of mine-related waste material, diversion of water where appropriate to keep clean water clean, institutional controls with appropriate land and water use restrictions, and monitored recovery. </w:t>
      </w:r>
      <w:r w:rsidR="00A6241A" w:rsidRPr="00083321">
        <w:rPr>
          <w:rFonts w:ascii="Garamond" w:hAnsi="Garamond"/>
          <w:sz w:val="24"/>
          <w:szCs w:val="24"/>
        </w:rPr>
        <w:t>While the cleanup plan is extensive not all Protected Uses can be restored</w:t>
      </w:r>
      <w:r w:rsidR="004A0228" w:rsidRPr="00083321">
        <w:rPr>
          <w:rFonts w:ascii="Garamond" w:hAnsi="Garamond"/>
          <w:sz w:val="24"/>
          <w:szCs w:val="24"/>
        </w:rPr>
        <w:t xml:space="preserve">.  </w:t>
      </w:r>
    </w:p>
    <w:p w14:paraId="2EA62CE5" w14:textId="47A2E5AD" w:rsidR="006320CF" w:rsidRPr="00EC1419" w:rsidRDefault="00F239E3" w:rsidP="00F71719">
      <w:pPr>
        <w:rPr>
          <w:rFonts w:ascii="Garamond" w:hAnsi="Garamond"/>
          <w:sz w:val="24"/>
          <w:szCs w:val="24"/>
        </w:rPr>
      </w:pPr>
      <w:r w:rsidRPr="00EC1419">
        <w:rPr>
          <w:rFonts w:ascii="Garamond" w:hAnsi="Garamond"/>
          <w:sz w:val="24"/>
          <w:szCs w:val="24"/>
        </w:rPr>
        <w:t>Reclassification</w:t>
      </w:r>
      <w:r w:rsidR="001661A8">
        <w:rPr>
          <w:rFonts w:ascii="Garamond" w:hAnsi="Garamond"/>
          <w:sz w:val="24"/>
          <w:szCs w:val="24"/>
        </w:rPr>
        <w:t xml:space="preserve"> (i.e., removal of water supply and aquatic life use) </w:t>
      </w:r>
      <w:r w:rsidRPr="00EC1419">
        <w:rPr>
          <w:rFonts w:ascii="Garamond" w:hAnsi="Garamond"/>
          <w:sz w:val="24"/>
          <w:szCs w:val="24"/>
        </w:rPr>
        <w:t>of</w:t>
      </w:r>
      <w:r w:rsidR="006320CF" w:rsidRPr="00EC1419">
        <w:rPr>
          <w:rFonts w:ascii="Garamond" w:hAnsi="Garamond"/>
          <w:sz w:val="24"/>
          <w:szCs w:val="24"/>
        </w:rPr>
        <w:t xml:space="preserve"> </w:t>
      </w:r>
      <w:r w:rsidR="004A0228">
        <w:rPr>
          <w:rFonts w:ascii="Garamond" w:hAnsi="Garamond"/>
          <w:sz w:val="24"/>
          <w:szCs w:val="24"/>
        </w:rPr>
        <w:t xml:space="preserve">select </w:t>
      </w:r>
      <w:r w:rsidR="006320CF" w:rsidRPr="00EC1419">
        <w:rPr>
          <w:rFonts w:ascii="Garamond" w:hAnsi="Garamond"/>
          <w:sz w:val="24"/>
          <w:szCs w:val="24"/>
        </w:rPr>
        <w:t xml:space="preserve">freshwater water bodies </w:t>
      </w:r>
      <w:r w:rsidR="007E4EC5">
        <w:rPr>
          <w:rFonts w:ascii="Garamond" w:hAnsi="Garamond"/>
          <w:sz w:val="24"/>
          <w:szCs w:val="24"/>
        </w:rPr>
        <w:t xml:space="preserve">associated with the Rio Tinto project area ensures the </w:t>
      </w:r>
      <w:r w:rsidR="002F7E51">
        <w:rPr>
          <w:rFonts w:ascii="Garamond" w:hAnsi="Garamond"/>
          <w:sz w:val="24"/>
          <w:szCs w:val="24"/>
        </w:rPr>
        <w:t xml:space="preserve">regulatory </w:t>
      </w:r>
      <w:r w:rsidR="007E4EC5">
        <w:rPr>
          <w:rFonts w:ascii="Garamond" w:hAnsi="Garamond"/>
          <w:sz w:val="24"/>
          <w:szCs w:val="24"/>
        </w:rPr>
        <w:t xml:space="preserve">level of protection is consistent with </w:t>
      </w:r>
      <w:r w:rsidR="002F7E51">
        <w:rPr>
          <w:rFonts w:ascii="Garamond" w:hAnsi="Garamond"/>
          <w:sz w:val="24"/>
          <w:szCs w:val="24"/>
        </w:rPr>
        <w:t xml:space="preserve">the goals and policies of </w:t>
      </w:r>
      <w:r w:rsidR="004A0228">
        <w:rPr>
          <w:rFonts w:ascii="Garamond" w:hAnsi="Garamond"/>
          <w:sz w:val="24"/>
          <w:szCs w:val="24"/>
        </w:rPr>
        <w:t>Alaska water pollution control programs</w:t>
      </w:r>
      <w:r w:rsidR="00350931">
        <w:rPr>
          <w:rFonts w:ascii="Garamond" w:hAnsi="Garamond"/>
          <w:sz w:val="24"/>
          <w:szCs w:val="24"/>
        </w:rPr>
        <w:t>.</w:t>
      </w:r>
    </w:p>
    <w:sectPr w:rsidR="006320CF" w:rsidRPr="00EC1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8D17" w14:textId="77777777" w:rsidR="00940DD7" w:rsidRDefault="00940DD7" w:rsidP="00361FEA">
      <w:pPr>
        <w:spacing w:after="0" w:line="240" w:lineRule="auto"/>
      </w:pPr>
      <w:r>
        <w:separator/>
      </w:r>
    </w:p>
  </w:endnote>
  <w:endnote w:type="continuationSeparator" w:id="0">
    <w:p w14:paraId="316C3A4C" w14:textId="77777777" w:rsidR="00940DD7" w:rsidRDefault="00940DD7" w:rsidP="0036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FBC3" w14:textId="77777777" w:rsidR="007F7C5E" w:rsidRDefault="007F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555AB2" w14:paraId="04490E91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4D2A9B7E" w14:textId="77777777" w:rsidR="00555AB2" w:rsidRDefault="00555AB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9C20F0" w14:textId="77777777" w:rsidR="00555AB2" w:rsidRDefault="00555AB2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28BA" w:rsidRPr="007128BA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5EA8942B" w14:textId="77777777" w:rsidR="00555AB2" w:rsidRDefault="00555AB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55AB2" w14:paraId="6F68669B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01C07518" w14:textId="77777777" w:rsidR="00555AB2" w:rsidRDefault="00555AB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F58D7D5" w14:textId="77777777" w:rsidR="00555AB2" w:rsidRDefault="00555AB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1E5CF67A" w14:textId="77777777" w:rsidR="00555AB2" w:rsidRDefault="00555AB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B88AA3F" w14:textId="77777777" w:rsidR="00476362" w:rsidRDefault="00476362" w:rsidP="00476362">
    <w:pPr>
      <w:pStyle w:val="Footer"/>
      <w:rPr>
        <w:sz w:val="16"/>
        <w:szCs w:val="16"/>
      </w:rPr>
    </w:pPr>
    <w:r>
      <w:rPr>
        <w:sz w:val="16"/>
        <w:szCs w:val="16"/>
      </w:rPr>
      <w:t xml:space="preserve">Alaska Department of Environmental Conservation </w:t>
    </w:r>
    <w:r>
      <w:rPr>
        <w:sz w:val="16"/>
        <w:szCs w:val="16"/>
      </w:rPr>
      <w:sym w:font="Wingdings" w:char="F053"/>
    </w:r>
    <w:r>
      <w:rPr>
        <w:sz w:val="16"/>
        <w:szCs w:val="16"/>
      </w:rPr>
      <w:t xml:space="preserve"> 410 Willoughby Ave, Suite 303, Juneau, AK 99811 </w:t>
    </w:r>
    <w:r>
      <w:rPr>
        <w:sz w:val="16"/>
        <w:szCs w:val="16"/>
      </w:rPr>
      <w:sym w:font="Wingdings" w:char="F053"/>
    </w:r>
    <w:r>
      <w:rPr>
        <w:sz w:val="16"/>
        <w:szCs w:val="16"/>
      </w:rPr>
      <w:t xml:space="preserve"> </w:t>
    </w:r>
    <w:hyperlink r:id="rId1" w:history="1">
      <w:r w:rsidRPr="0086497E">
        <w:rPr>
          <w:rStyle w:val="Hyperlink"/>
          <w:sz w:val="16"/>
          <w:szCs w:val="16"/>
        </w:rPr>
        <w:t>www.dec.alaska.gov</w:t>
      </w:r>
    </w:hyperlink>
  </w:p>
  <w:p w14:paraId="34F80921" w14:textId="77777777" w:rsidR="00476362" w:rsidRPr="00ED24E7" w:rsidRDefault="00476362" w:rsidP="00476362">
    <w:pPr>
      <w:pStyle w:val="Footer"/>
      <w:rPr>
        <w:sz w:val="16"/>
        <w:szCs w:val="16"/>
      </w:rPr>
    </w:pPr>
    <w:r>
      <w:rPr>
        <w:sz w:val="16"/>
        <w:szCs w:val="16"/>
      </w:rPr>
      <w:t xml:space="preserve">(907) 465-5185 </w:t>
    </w:r>
    <w:r>
      <w:rPr>
        <w:sz w:val="16"/>
        <w:szCs w:val="16"/>
      </w:rPr>
      <w:sym w:font="Wingdings" w:char="F053"/>
    </w:r>
    <w:r>
      <w:rPr>
        <w:sz w:val="16"/>
        <w:szCs w:val="16"/>
      </w:rPr>
      <w:t xml:space="preserve"> Available in alternative formats</w:t>
    </w:r>
  </w:p>
  <w:p w14:paraId="133542AB" w14:textId="6DCEA479" w:rsidR="00555AB2" w:rsidRDefault="00555AB2" w:rsidP="00476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86F0" w14:textId="77777777" w:rsidR="007F7C5E" w:rsidRDefault="007F7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A363C" w14:textId="77777777" w:rsidR="00940DD7" w:rsidRDefault="00940DD7" w:rsidP="00361FEA">
      <w:pPr>
        <w:spacing w:after="0" w:line="240" w:lineRule="auto"/>
      </w:pPr>
      <w:r>
        <w:separator/>
      </w:r>
    </w:p>
  </w:footnote>
  <w:footnote w:type="continuationSeparator" w:id="0">
    <w:p w14:paraId="05C22039" w14:textId="77777777" w:rsidR="00940DD7" w:rsidRDefault="00940DD7" w:rsidP="00361FEA">
      <w:pPr>
        <w:spacing w:after="0" w:line="240" w:lineRule="auto"/>
      </w:pPr>
      <w:r>
        <w:continuationSeparator/>
      </w:r>
    </w:p>
  </w:footnote>
  <w:footnote w:id="1">
    <w:p w14:paraId="22B7E275" w14:textId="063643BE" w:rsidR="00D8441C" w:rsidRPr="00D8441C" w:rsidRDefault="00D8441C">
      <w:pPr>
        <w:pStyle w:val="FootnoteText"/>
        <w:rPr>
          <w:rFonts w:ascii="Garamond" w:hAnsi="Garamond"/>
        </w:rPr>
      </w:pPr>
      <w:r w:rsidRPr="00D8441C">
        <w:rPr>
          <w:rStyle w:val="FootnoteReference"/>
          <w:rFonts w:ascii="Garamond" w:hAnsi="Garamond"/>
        </w:rPr>
        <w:footnoteRef/>
      </w:r>
      <w:r w:rsidRPr="00D8441C">
        <w:rPr>
          <w:rFonts w:ascii="Garamond" w:hAnsi="Garamond"/>
        </w:rPr>
        <w:t xml:space="preserve"> An “existing use” is a designated/protected use that has been attained after November 28, 1975. This is the date that the federal regulations pertaining to the Clean Water Act went into effect.</w:t>
      </w:r>
      <w:r>
        <w:rPr>
          <w:rFonts w:ascii="Garamond" w:hAnsi="Garamond"/>
        </w:rPr>
        <w:t xml:space="preserve"> </w:t>
      </w:r>
      <w:r w:rsidRPr="00D8441C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26344" w14:textId="77777777" w:rsidR="007F7C5E" w:rsidRDefault="007F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B1F5" w14:textId="48A0B401" w:rsidR="00E17FA9" w:rsidRDefault="00E17FA9" w:rsidP="00E17FA9">
    <w:pPr>
      <w:pStyle w:val="NoSpacing"/>
      <w:jc w:val="center"/>
      <w:rPr>
        <w:b/>
        <w:sz w:val="28"/>
      </w:rPr>
    </w:pPr>
    <w:r w:rsidRPr="004F60C4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EC6D0D" wp14:editId="242B79FB">
              <wp:simplePos x="0" y="0"/>
              <wp:positionH relativeFrom="margin">
                <wp:posOffset>-388620</wp:posOffset>
              </wp:positionH>
              <wp:positionV relativeFrom="paragraph">
                <wp:posOffset>292735</wp:posOffset>
              </wp:positionV>
              <wp:extent cx="6517640" cy="323850"/>
              <wp:effectExtent l="0" t="0" r="1651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323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38696" w14:textId="30EC220A" w:rsidR="0052663D" w:rsidRPr="008C2973" w:rsidRDefault="0052663D" w:rsidP="00AF33BE">
                          <w:pPr>
                            <w:ind w:left="-180" w:right="-122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C297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Fact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C6D0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30.6pt;margin-top:23.05pt;width:513.2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" fillcolor="#2e74b5 [2404]">
              <v:textbox>
                <w:txbxContent>
                  <w:p w14:paraId="50938696" w14:textId="30EC220A" w:rsidR="0052663D" w:rsidRPr="008C2973" w:rsidRDefault="0052663D" w:rsidP="00AF33BE">
                    <w:pPr>
                      <w:ind w:left="-180" w:right="-122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C2973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Fact Sheet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3B1F" w:rsidRPr="004C747E">
      <w:rPr>
        <w:noProof/>
      </w:rPr>
      <w:drawing>
        <wp:anchor distT="0" distB="0" distL="114300" distR="114300" simplePos="0" relativeHeight="251660288" behindDoc="0" locked="0" layoutInCell="1" allowOverlap="1" wp14:anchorId="7290E8CB" wp14:editId="34DC361F">
          <wp:simplePos x="0" y="0"/>
          <wp:positionH relativeFrom="column">
            <wp:posOffset>5402580</wp:posOffset>
          </wp:positionH>
          <wp:positionV relativeFrom="paragraph">
            <wp:posOffset>-138430</wp:posOffset>
          </wp:positionV>
          <wp:extent cx="685800" cy="694690"/>
          <wp:effectExtent l="152400" t="152400" r="323850" b="3340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469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89E">
      <w:rPr>
        <w:b/>
        <w:sz w:val="28"/>
      </w:rPr>
      <w:t>D</w:t>
    </w:r>
    <w:r w:rsidR="008C2973">
      <w:rPr>
        <w:b/>
        <w:sz w:val="28"/>
      </w:rPr>
      <w:t>esignated Use</w:t>
    </w:r>
    <w:r w:rsidR="00591FE9">
      <w:rPr>
        <w:b/>
        <w:sz w:val="28"/>
      </w:rPr>
      <w:t>s and their Reclassification</w:t>
    </w:r>
  </w:p>
  <w:p w14:paraId="335BE2E7" w14:textId="388B7636" w:rsidR="00361FEA" w:rsidRDefault="00361FEA" w:rsidP="00526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7C91" w14:textId="77777777" w:rsidR="007F7C5E" w:rsidRDefault="007F7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46C7C"/>
    <w:multiLevelType w:val="hybridMultilevel"/>
    <w:tmpl w:val="444EB602"/>
    <w:lvl w:ilvl="0" w:tplc="4762E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7E71"/>
    <w:multiLevelType w:val="hybridMultilevel"/>
    <w:tmpl w:val="35AE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2017D"/>
    <w:multiLevelType w:val="hybridMultilevel"/>
    <w:tmpl w:val="8856DF0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CEC1E2D"/>
    <w:multiLevelType w:val="hybridMultilevel"/>
    <w:tmpl w:val="CF9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4280"/>
    <w:multiLevelType w:val="hybridMultilevel"/>
    <w:tmpl w:val="E97008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0988"/>
    <w:multiLevelType w:val="hybridMultilevel"/>
    <w:tmpl w:val="B14A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2149F"/>
    <w:multiLevelType w:val="hybridMultilevel"/>
    <w:tmpl w:val="8C5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75ED"/>
    <w:multiLevelType w:val="multilevel"/>
    <w:tmpl w:val="8C6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807A9"/>
    <w:multiLevelType w:val="hybridMultilevel"/>
    <w:tmpl w:val="402A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4B5C"/>
    <w:multiLevelType w:val="hybridMultilevel"/>
    <w:tmpl w:val="B1D6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0B07"/>
    <w:multiLevelType w:val="hybridMultilevel"/>
    <w:tmpl w:val="6B809DFE"/>
    <w:lvl w:ilvl="0" w:tplc="66568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35633">
    <w:abstractNumId w:val="2"/>
  </w:num>
  <w:num w:numId="2" w16cid:durableId="773482997">
    <w:abstractNumId w:val="6"/>
  </w:num>
  <w:num w:numId="3" w16cid:durableId="375471519">
    <w:abstractNumId w:val="8"/>
  </w:num>
  <w:num w:numId="4" w16cid:durableId="1027216977">
    <w:abstractNumId w:val="5"/>
  </w:num>
  <w:num w:numId="5" w16cid:durableId="1911574942">
    <w:abstractNumId w:val="3"/>
  </w:num>
  <w:num w:numId="6" w16cid:durableId="818109650">
    <w:abstractNumId w:val="1"/>
  </w:num>
  <w:num w:numId="7" w16cid:durableId="1733889006">
    <w:abstractNumId w:val="7"/>
  </w:num>
  <w:num w:numId="8" w16cid:durableId="2024938577">
    <w:abstractNumId w:val="10"/>
  </w:num>
  <w:num w:numId="9" w16cid:durableId="385303850">
    <w:abstractNumId w:val="4"/>
  </w:num>
  <w:num w:numId="10" w16cid:durableId="854881440">
    <w:abstractNumId w:val="9"/>
  </w:num>
  <w:num w:numId="11" w16cid:durableId="5619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EA"/>
    <w:rsid w:val="00015B9F"/>
    <w:rsid w:val="00027BB7"/>
    <w:rsid w:val="00052AFA"/>
    <w:rsid w:val="00072261"/>
    <w:rsid w:val="00083321"/>
    <w:rsid w:val="000A4096"/>
    <w:rsid w:val="000C26E4"/>
    <w:rsid w:val="000E56B1"/>
    <w:rsid w:val="000F3B1F"/>
    <w:rsid w:val="0010165B"/>
    <w:rsid w:val="00104441"/>
    <w:rsid w:val="00115FF4"/>
    <w:rsid w:val="00121317"/>
    <w:rsid w:val="0014622A"/>
    <w:rsid w:val="001661A8"/>
    <w:rsid w:val="00177276"/>
    <w:rsid w:val="00184CE9"/>
    <w:rsid w:val="001A21A5"/>
    <w:rsid w:val="001F0F94"/>
    <w:rsid w:val="00212E64"/>
    <w:rsid w:val="00213225"/>
    <w:rsid w:val="00220DA6"/>
    <w:rsid w:val="00254637"/>
    <w:rsid w:val="002948CB"/>
    <w:rsid w:val="002A7D52"/>
    <w:rsid w:val="002D5DCD"/>
    <w:rsid w:val="002E7FEB"/>
    <w:rsid w:val="002F7E51"/>
    <w:rsid w:val="00312B57"/>
    <w:rsid w:val="00315E5F"/>
    <w:rsid w:val="003378BB"/>
    <w:rsid w:val="00350931"/>
    <w:rsid w:val="00361FEA"/>
    <w:rsid w:val="003752DE"/>
    <w:rsid w:val="003B3BC3"/>
    <w:rsid w:val="003B7E7B"/>
    <w:rsid w:val="003C1B4E"/>
    <w:rsid w:val="003D5BC9"/>
    <w:rsid w:val="003D6BC0"/>
    <w:rsid w:val="00405783"/>
    <w:rsid w:val="00416795"/>
    <w:rsid w:val="00424211"/>
    <w:rsid w:val="0042738D"/>
    <w:rsid w:val="0044101D"/>
    <w:rsid w:val="00441CCD"/>
    <w:rsid w:val="004633BB"/>
    <w:rsid w:val="00476362"/>
    <w:rsid w:val="004A0228"/>
    <w:rsid w:val="004B36BB"/>
    <w:rsid w:val="004C2F36"/>
    <w:rsid w:val="004C747E"/>
    <w:rsid w:val="004D64AD"/>
    <w:rsid w:val="004E4DDC"/>
    <w:rsid w:val="004E71E9"/>
    <w:rsid w:val="004E7647"/>
    <w:rsid w:val="004F60C4"/>
    <w:rsid w:val="00511B0B"/>
    <w:rsid w:val="0051699F"/>
    <w:rsid w:val="0052663D"/>
    <w:rsid w:val="00546CC6"/>
    <w:rsid w:val="00555AB2"/>
    <w:rsid w:val="00571F90"/>
    <w:rsid w:val="00577BFA"/>
    <w:rsid w:val="00591F1A"/>
    <w:rsid w:val="00591FE9"/>
    <w:rsid w:val="00593CF9"/>
    <w:rsid w:val="005D4017"/>
    <w:rsid w:val="005F1EB4"/>
    <w:rsid w:val="0060514A"/>
    <w:rsid w:val="006320CF"/>
    <w:rsid w:val="00634C72"/>
    <w:rsid w:val="0065132D"/>
    <w:rsid w:val="00656774"/>
    <w:rsid w:val="006610B5"/>
    <w:rsid w:val="006611F0"/>
    <w:rsid w:val="006C24ED"/>
    <w:rsid w:val="006C6E57"/>
    <w:rsid w:val="00703874"/>
    <w:rsid w:val="00704489"/>
    <w:rsid w:val="007128BA"/>
    <w:rsid w:val="007179F6"/>
    <w:rsid w:val="00794996"/>
    <w:rsid w:val="00796FA8"/>
    <w:rsid w:val="00797F10"/>
    <w:rsid w:val="007D5B39"/>
    <w:rsid w:val="007E4EC5"/>
    <w:rsid w:val="007F31FD"/>
    <w:rsid w:val="007F7C5E"/>
    <w:rsid w:val="0080438A"/>
    <w:rsid w:val="008222D0"/>
    <w:rsid w:val="00851A74"/>
    <w:rsid w:val="00897F53"/>
    <w:rsid w:val="008A3AFE"/>
    <w:rsid w:val="008C2973"/>
    <w:rsid w:val="008D1C4D"/>
    <w:rsid w:val="008D4CC7"/>
    <w:rsid w:val="008D6FFE"/>
    <w:rsid w:val="008E2773"/>
    <w:rsid w:val="008E7F0A"/>
    <w:rsid w:val="008F6C89"/>
    <w:rsid w:val="00904C1B"/>
    <w:rsid w:val="00905D7B"/>
    <w:rsid w:val="00907696"/>
    <w:rsid w:val="0092193F"/>
    <w:rsid w:val="009223A7"/>
    <w:rsid w:val="00927F0D"/>
    <w:rsid w:val="0093734B"/>
    <w:rsid w:val="00940DD7"/>
    <w:rsid w:val="00950C9A"/>
    <w:rsid w:val="00954A5D"/>
    <w:rsid w:val="009643A3"/>
    <w:rsid w:val="00966258"/>
    <w:rsid w:val="009762EB"/>
    <w:rsid w:val="009E6902"/>
    <w:rsid w:val="009F0612"/>
    <w:rsid w:val="009F31D1"/>
    <w:rsid w:val="00A10C00"/>
    <w:rsid w:val="00A12B75"/>
    <w:rsid w:val="00A3428C"/>
    <w:rsid w:val="00A53732"/>
    <w:rsid w:val="00A60CC3"/>
    <w:rsid w:val="00A6241A"/>
    <w:rsid w:val="00A70BD9"/>
    <w:rsid w:val="00A77308"/>
    <w:rsid w:val="00AD5FF0"/>
    <w:rsid w:val="00AF09FD"/>
    <w:rsid w:val="00AF33BE"/>
    <w:rsid w:val="00B241C8"/>
    <w:rsid w:val="00B33F57"/>
    <w:rsid w:val="00B45A97"/>
    <w:rsid w:val="00B60EF7"/>
    <w:rsid w:val="00B620E9"/>
    <w:rsid w:val="00BB6EF9"/>
    <w:rsid w:val="00BD6B19"/>
    <w:rsid w:val="00BE647D"/>
    <w:rsid w:val="00BF04D4"/>
    <w:rsid w:val="00C41732"/>
    <w:rsid w:val="00C57878"/>
    <w:rsid w:val="00C724D0"/>
    <w:rsid w:val="00C8089E"/>
    <w:rsid w:val="00C97455"/>
    <w:rsid w:val="00CB5FD9"/>
    <w:rsid w:val="00D03F38"/>
    <w:rsid w:val="00D10118"/>
    <w:rsid w:val="00D43397"/>
    <w:rsid w:val="00D8441C"/>
    <w:rsid w:val="00D9320E"/>
    <w:rsid w:val="00D9752A"/>
    <w:rsid w:val="00DD199C"/>
    <w:rsid w:val="00DF3D78"/>
    <w:rsid w:val="00E17FA9"/>
    <w:rsid w:val="00E56CCB"/>
    <w:rsid w:val="00E76956"/>
    <w:rsid w:val="00EC050C"/>
    <w:rsid w:val="00EC1419"/>
    <w:rsid w:val="00ED5274"/>
    <w:rsid w:val="00F075B8"/>
    <w:rsid w:val="00F144DE"/>
    <w:rsid w:val="00F239E3"/>
    <w:rsid w:val="00F45710"/>
    <w:rsid w:val="00F5253A"/>
    <w:rsid w:val="00F528F5"/>
    <w:rsid w:val="00F71719"/>
    <w:rsid w:val="00F85C17"/>
    <w:rsid w:val="00F95410"/>
    <w:rsid w:val="00FC41B2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46C0"/>
  <w15:chartTrackingRefBased/>
  <w15:docId w15:val="{1D7F4616-EDBB-4815-B4E6-98E278D3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EA"/>
  </w:style>
  <w:style w:type="paragraph" w:styleId="Footer">
    <w:name w:val="footer"/>
    <w:basedOn w:val="Normal"/>
    <w:link w:val="FooterChar"/>
    <w:uiPriority w:val="99"/>
    <w:unhideWhenUsed/>
    <w:rsid w:val="0036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EA"/>
  </w:style>
  <w:style w:type="paragraph" w:styleId="BalloonText">
    <w:name w:val="Balloon Text"/>
    <w:basedOn w:val="Normal"/>
    <w:link w:val="BalloonTextChar"/>
    <w:uiPriority w:val="99"/>
    <w:semiHidden/>
    <w:unhideWhenUsed/>
    <w:rsid w:val="0036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E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61F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61FE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61FEA"/>
    <w:pPr>
      <w:spacing w:after="0" w:line="324" w:lineRule="auto"/>
      <w:ind w:firstLine="288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F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AB2"/>
    <w:pPr>
      <w:spacing w:after="0" w:line="240" w:lineRule="auto"/>
      <w:ind w:left="720" w:hanging="288"/>
      <w:contextualSpacing/>
    </w:pPr>
    <w:rPr>
      <w:color w:val="323E4F" w:themeColor="text2" w:themeShade="BF"/>
      <w:sz w:val="19"/>
      <w:lang w:eastAsia="ko-KR"/>
    </w:rPr>
  </w:style>
  <w:style w:type="paragraph" w:customStyle="1" w:styleId="Default">
    <w:name w:val="Default"/>
    <w:rsid w:val="009F0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61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373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77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14622A"/>
  </w:style>
  <w:style w:type="paragraph" w:styleId="Revision">
    <w:name w:val="Revision"/>
    <w:hidden/>
    <w:uiPriority w:val="99"/>
    <w:semiHidden/>
    <w:rsid w:val="00220DA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4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4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4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alask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AB55-F16B-4873-A8C4-0ED85F28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 N (DEC)</cp:lastModifiedBy>
  <cp:revision>3</cp:revision>
  <cp:lastPrinted>2014-05-08T21:38:00Z</cp:lastPrinted>
  <dcterms:created xsi:type="dcterms:W3CDTF">2024-07-23T22:24:00Z</dcterms:created>
  <dcterms:modified xsi:type="dcterms:W3CDTF">2024-07-23T22:26:00Z</dcterms:modified>
</cp:coreProperties>
</file>